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charts/chart9.xml" ContentType="application/vnd.openxmlformats-officedocument.drawingml.chart+xml"/>
  <Override PartName="/word/theme/themeOverride8.xml" ContentType="application/vnd.openxmlformats-officedocument.themeOverride+xml"/>
  <Override PartName="/word/charts/chart10.xml" ContentType="application/vnd.openxmlformats-officedocument.drawingml.chart+xml"/>
  <Override PartName="/word/theme/themeOverride9.xml" ContentType="application/vnd.openxmlformats-officedocument.themeOverride+xml"/>
  <Override PartName="/word/charts/chart11.xml" ContentType="application/vnd.openxmlformats-officedocument.drawingml.chart+xml"/>
  <Override PartName="/word/theme/themeOverride10.xml" ContentType="application/vnd.openxmlformats-officedocument.themeOverride+xml"/>
  <Override PartName="/word/charts/chart12.xml" ContentType="application/vnd.openxmlformats-officedocument.drawingml.chart+xml"/>
  <Override PartName="/word/theme/themeOverride11.xml" ContentType="application/vnd.openxmlformats-officedocument.themeOverride+xml"/>
  <Override PartName="/word/charts/chart13.xml" ContentType="application/vnd.openxmlformats-officedocument.drawingml.chart+xml"/>
  <Override PartName="/word/theme/themeOverride12.xml" ContentType="application/vnd.openxmlformats-officedocument.themeOverride+xml"/>
  <Override PartName="/word/charts/chart14.xml" ContentType="application/vnd.openxmlformats-officedocument.drawingml.chart+xml"/>
  <Override PartName="/word/theme/themeOverride13.xml" ContentType="application/vnd.openxmlformats-officedocument.themeOverride+xml"/>
  <Override PartName="/word/charts/chart15.xml" ContentType="application/vnd.openxmlformats-officedocument.drawingml.chart+xml"/>
  <Override PartName="/word/theme/themeOverride14.xml" ContentType="application/vnd.openxmlformats-officedocument.themeOverride+xml"/>
  <Override PartName="/word/charts/chart16.xml" ContentType="application/vnd.openxmlformats-officedocument.drawingml.chart+xml"/>
  <Override PartName="/word/theme/themeOverride15.xml" ContentType="application/vnd.openxmlformats-officedocument.themeOverride+xml"/>
  <Override PartName="/word/charts/chart17.xml" ContentType="application/vnd.openxmlformats-officedocument.drawingml.chart+xml"/>
  <Override PartName="/word/theme/themeOverride16.xml" ContentType="application/vnd.openxmlformats-officedocument.themeOverride+xml"/>
  <Override PartName="/word/charts/chart18.xml" ContentType="application/vnd.openxmlformats-officedocument.drawingml.chart+xml"/>
  <Override PartName="/word/theme/themeOverride17.xml" ContentType="application/vnd.openxmlformats-officedocument.themeOverride+xml"/>
  <Override PartName="/word/charts/chart19.xml" ContentType="application/vnd.openxmlformats-officedocument.drawingml.chart+xml"/>
  <Override PartName="/word/theme/themeOverride18.xml" ContentType="application/vnd.openxmlformats-officedocument.themeOverride+xml"/>
  <Override PartName="/word/charts/chart20.xml" ContentType="application/vnd.openxmlformats-officedocument.drawingml.chart+xml"/>
  <Override PartName="/word/theme/themeOverride19.xml" ContentType="application/vnd.openxmlformats-officedocument.themeOverride+xml"/>
  <Override PartName="/word/charts/chart21.xml" ContentType="application/vnd.openxmlformats-officedocument.drawingml.chart+xml"/>
  <Override PartName="/word/theme/themeOverride20.xml" ContentType="application/vnd.openxmlformats-officedocument.themeOverride+xml"/>
  <Override PartName="/word/charts/chart22.xml" ContentType="application/vnd.openxmlformats-officedocument.drawingml.chart+xml"/>
  <Override PartName="/word/theme/themeOverride21.xml" ContentType="application/vnd.openxmlformats-officedocument.themeOverride+xml"/>
  <Override PartName="/word/charts/chart23.xml" ContentType="application/vnd.openxmlformats-officedocument.drawingml.chart+xml"/>
  <Override PartName="/word/theme/themeOverride22.xml" ContentType="application/vnd.openxmlformats-officedocument.themeOverride+xml"/>
  <Override PartName="/word/charts/chart24.xml" ContentType="application/vnd.openxmlformats-officedocument.drawingml.chart+xml"/>
  <Override PartName="/word/theme/themeOverride23.xml" ContentType="application/vnd.openxmlformats-officedocument.themeOverride+xml"/>
  <Override PartName="/word/charts/chart25.xml" ContentType="application/vnd.openxmlformats-officedocument.drawingml.chart+xml"/>
  <Override PartName="/word/theme/themeOverride24.xml" ContentType="application/vnd.openxmlformats-officedocument.themeOverride+xml"/>
  <Override PartName="/word/charts/chart26.xml" ContentType="application/vnd.openxmlformats-officedocument.drawingml.chart+xml"/>
  <Override PartName="/word/theme/themeOverride25.xml" ContentType="application/vnd.openxmlformats-officedocument.themeOverride+xml"/>
  <Override PartName="/word/charts/chart27.xml" ContentType="application/vnd.openxmlformats-officedocument.drawingml.chart+xml"/>
  <Override PartName="/word/theme/themeOverride26.xml" ContentType="application/vnd.openxmlformats-officedocument.themeOverride+xml"/>
  <Override PartName="/word/charts/chart28.xml" ContentType="application/vnd.openxmlformats-officedocument.drawingml.chart+xml"/>
  <Override PartName="/word/theme/themeOverride27.xml" ContentType="application/vnd.openxmlformats-officedocument.themeOverride+xml"/>
  <Override PartName="/word/charts/chart29.xml" ContentType="application/vnd.openxmlformats-officedocument.drawingml.chart+xml"/>
  <Override PartName="/word/theme/themeOverride28.xml" ContentType="application/vnd.openxmlformats-officedocument.themeOverride+xml"/>
  <Override PartName="/word/charts/chart30.xml" ContentType="application/vnd.openxmlformats-officedocument.drawingml.chart+xml"/>
  <Override PartName="/word/theme/themeOverride29.xml" ContentType="application/vnd.openxmlformats-officedocument.themeOverride+xml"/>
  <Override PartName="/word/charts/chart31.xml" ContentType="application/vnd.openxmlformats-officedocument.drawingml.chart+xml"/>
  <Override PartName="/word/theme/themeOverride30.xml" ContentType="application/vnd.openxmlformats-officedocument.themeOverride+xml"/>
  <Override PartName="/word/charts/chart32.xml" ContentType="application/vnd.openxmlformats-officedocument.drawingml.chart+xml"/>
  <Override PartName="/word/theme/themeOverride31.xml" ContentType="application/vnd.openxmlformats-officedocument.themeOverride+xml"/>
  <Override PartName="/word/charts/chart33.xml" ContentType="application/vnd.openxmlformats-officedocument.drawingml.chart+xml"/>
  <Override PartName="/word/theme/themeOverride32.xml" ContentType="application/vnd.openxmlformats-officedocument.themeOverride+xml"/>
  <Override PartName="/word/charts/chart34.xml" ContentType="application/vnd.openxmlformats-officedocument.drawingml.chart+xml"/>
  <Override PartName="/word/theme/themeOverride33.xml" ContentType="application/vnd.openxmlformats-officedocument.themeOverride+xml"/>
  <Override PartName="/word/charts/chart35.xml" ContentType="application/vnd.openxmlformats-officedocument.drawingml.chart+xml"/>
  <Override PartName="/word/theme/themeOverride34.xml" ContentType="application/vnd.openxmlformats-officedocument.themeOverride+xml"/>
  <Override PartName="/word/charts/chart36.xml" ContentType="application/vnd.openxmlformats-officedocument.drawingml.chart+xml"/>
  <Override PartName="/word/theme/themeOverride35.xml" ContentType="application/vnd.openxmlformats-officedocument.themeOverride+xml"/>
  <Override PartName="/word/charts/chart37.xml" ContentType="application/vnd.openxmlformats-officedocument.drawingml.chart+xml"/>
  <Override PartName="/word/theme/themeOverride36.xml" ContentType="application/vnd.openxmlformats-officedocument.themeOverride+xml"/>
  <Override PartName="/word/charts/chart38.xml" ContentType="application/vnd.openxmlformats-officedocument.drawingml.chart+xml"/>
  <Override PartName="/word/theme/themeOverride37.xml" ContentType="application/vnd.openxmlformats-officedocument.themeOverride+xml"/>
  <Override PartName="/word/charts/chart39.xml" ContentType="application/vnd.openxmlformats-officedocument.drawingml.chart+xml"/>
  <Override PartName="/word/theme/themeOverride38.xml" ContentType="application/vnd.openxmlformats-officedocument.themeOverride+xml"/>
  <Override PartName="/word/charts/chart40.xml" ContentType="application/vnd.openxmlformats-officedocument.drawingml.chart+xml"/>
  <Override PartName="/word/theme/themeOverride39.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CE9" w:rsidRPr="00127BF9" w:rsidRDefault="00255CE9" w:rsidP="00127BF9">
      <w:pPr>
        <w:spacing w:after="0" w:line="360" w:lineRule="auto"/>
        <w:jc w:val="center"/>
        <w:rPr>
          <w:rFonts w:ascii="Times New Roman" w:hAnsi="Times New Roman" w:cs="Times New Roman"/>
          <w:b/>
          <w:sz w:val="24"/>
          <w:szCs w:val="24"/>
        </w:rPr>
      </w:pPr>
      <w:r w:rsidRPr="00127BF9">
        <w:rPr>
          <w:rFonts w:ascii="Times New Roman" w:hAnsi="Times New Roman" w:cs="Times New Roman"/>
          <w:b/>
          <w:sz w:val="24"/>
          <w:szCs w:val="24"/>
        </w:rPr>
        <w:t>ΕΞΑΜΗΝΑΙΟ ΔΕΛΤΙΟ ΟΙΚΟΝΟΜΙΚΟΥ ΚΛΙΜΑΤΟΣ ΜΙΚΡΟΜΕΣΑΙΩΝ ΕΠΙΧΕΙΡΗΣΕΩΝ</w:t>
      </w:r>
    </w:p>
    <w:p w:rsidR="00255CE9" w:rsidRPr="009A15D7" w:rsidRDefault="00255CE9" w:rsidP="009A15D7">
      <w:pPr>
        <w:spacing w:after="0" w:line="360" w:lineRule="auto"/>
        <w:rPr>
          <w:rFonts w:ascii="Times New Roman" w:hAnsi="Times New Roman" w:cs="Times New Roman"/>
          <w:sz w:val="24"/>
          <w:szCs w:val="24"/>
        </w:rPr>
      </w:pPr>
    </w:p>
    <w:p w:rsidR="00255CE9" w:rsidRPr="00127BF9" w:rsidRDefault="00C95ABA" w:rsidP="00127BF9">
      <w:pPr>
        <w:spacing w:after="0" w:line="360" w:lineRule="auto"/>
        <w:jc w:val="center"/>
        <w:rPr>
          <w:rFonts w:ascii="Times New Roman" w:hAnsi="Times New Roman" w:cs="Times New Roman"/>
          <w:b/>
          <w:sz w:val="24"/>
          <w:szCs w:val="24"/>
        </w:rPr>
      </w:pPr>
      <w:r w:rsidRPr="00127BF9">
        <w:rPr>
          <w:rFonts w:ascii="Times New Roman" w:hAnsi="Times New Roman" w:cs="Times New Roman"/>
          <w:b/>
          <w:sz w:val="24"/>
          <w:szCs w:val="24"/>
        </w:rPr>
        <w:t>(Νο. 22</w:t>
      </w:r>
      <w:r w:rsidR="00255CE9" w:rsidRPr="00127BF9">
        <w:rPr>
          <w:rFonts w:ascii="Times New Roman" w:hAnsi="Times New Roman" w:cs="Times New Roman"/>
          <w:b/>
          <w:sz w:val="24"/>
          <w:szCs w:val="24"/>
        </w:rPr>
        <w:t xml:space="preserve">, </w:t>
      </w:r>
      <w:r w:rsidRPr="00127BF9">
        <w:rPr>
          <w:rFonts w:ascii="Times New Roman" w:hAnsi="Times New Roman" w:cs="Times New Roman"/>
          <w:b/>
          <w:sz w:val="24"/>
          <w:szCs w:val="24"/>
        </w:rPr>
        <w:t>2</w:t>
      </w:r>
      <w:r w:rsidRPr="00127BF9">
        <w:rPr>
          <w:rFonts w:ascii="Times New Roman" w:hAnsi="Times New Roman" w:cs="Times New Roman"/>
          <w:b/>
          <w:sz w:val="24"/>
          <w:szCs w:val="24"/>
          <w:vertAlign w:val="superscript"/>
        </w:rPr>
        <w:t>ο</w:t>
      </w:r>
      <w:r w:rsidR="00255CE9" w:rsidRPr="00127BF9">
        <w:rPr>
          <w:rFonts w:ascii="Times New Roman" w:hAnsi="Times New Roman" w:cs="Times New Roman"/>
          <w:b/>
          <w:sz w:val="24"/>
          <w:szCs w:val="24"/>
        </w:rPr>
        <w:t>/2019)</w:t>
      </w:r>
    </w:p>
    <w:p w:rsidR="00255CE9" w:rsidRPr="00127BF9" w:rsidRDefault="00255CE9" w:rsidP="00276CAE">
      <w:pPr>
        <w:spacing w:after="0" w:line="360" w:lineRule="auto"/>
        <w:jc w:val="both"/>
        <w:rPr>
          <w:rFonts w:ascii="Times New Roman" w:hAnsi="Times New Roman" w:cs="Times New Roman"/>
          <w:b/>
          <w:sz w:val="24"/>
          <w:szCs w:val="24"/>
        </w:rPr>
      </w:pPr>
      <w:r w:rsidRPr="00127BF9">
        <w:rPr>
          <w:rFonts w:ascii="Times New Roman" w:hAnsi="Times New Roman" w:cs="Times New Roman"/>
          <w:b/>
          <w:sz w:val="24"/>
          <w:szCs w:val="24"/>
        </w:rPr>
        <w:t xml:space="preserve">Θέμα: Έρευνα ΙΜΕ ΓΣΕΒΕΕ – </w:t>
      </w:r>
      <w:r w:rsidR="00C95ABA" w:rsidRPr="00127BF9">
        <w:rPr>
          <w:rFonts w:ascii="Times New Roman" w:hAnsi="Times New Roman" w:cs="Times New Roman"/>
          <w:b/>
          <w:sz w:val="24"/>
          <w:szCs w:val="24"/>
        </w:rPr>
        <w:t>Ιούλιος</w:t>
      </w:r>
      <w:r w:rsidRPr="00127BF9">
        <w:rPr>
          <w:rFonts w:ascii="Times New Roman" w:hAnsi="Times New Roman" w:cs="Times New Roman"/>
          <w:b/>
          <w:sz w:val="24"/>
          <w:szCs w:val="24"/>
        </w:rPr>
        <w:t xml:space="preserve"> 2019 – Εξαμηνία αποτύπωση οικονομικού κλίματος στις μικρές επιχειρήσεις (0-49 άτομα προσωπικό οι οποίες αποτελούν το 99,6% των ελληνικών επιχειρήσεων) </w:t>
      </w:r>
    </w:p>
    <w:p w:rsidR="00276CAE" w:rsidRDefault="00276CAE" w:rsidP="009A15D7">
      <w:pPr>
        <w:spacing w:after="0" w:line="360" w:lineRule="auto"/>
        <w:jc w:val="center"/>
        <w:rPr>
          <w:rFonts w:ascii="Times New Roman" w:hAnsi="Times New Roman" w:cs="Times New Roman"/>
          <w:b/>
          <w:sz w:val="28"/>
          <w:szCs w:val="28"/>
        </w:rPr>
      </w:pPr>
    </w:p>
    <w:p w:rsidR="009A15D7" w:rsidRPr="00276CAE" w:rsidRDefault="006E5C3E" w:rsidP="00276CAE">
      <w:pPr>
        <w:pStyle w:val="a5"/>
        <w:numPr>
          <w:ilvl w:val="0"/>
          <w:numId w:val="21"/>
        </w:num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
          <w:sz w:val="28"/>
          <w:szCs w:val="28"/>
        </w:rPr>
      </w:pPr>
      <w:r w:rsidRPr="00276CAE">
        <w:rPr>
          <w:rFonts w:ascii="Times New Roman" w:hAnsi="Times New Roman" w:cs="Times New Roman"/>
          <w:b/>
          <w:sz w:val="28"/>
          <w:szCs w:val="28"/>
        </w:rPr>
        <w:t>Μικρή ε</w:t>
      </w:r>
      <w:r w:rsidR="00A44503" w:rsidRPr="00276CAE">
        <w:rPr>
          <w:rFonts w:ascii="Times New Roman" w:hAnsi="Times New Roman" w:cs="Times New Roman"/>
          <w:b/>
          <w:sz w:val="28"/>
          <w:szCs w:val="28"/>
        </w:rPr>
        <w:t>πιβράδυνση της επιχειρηματικής δραστηριότητας το Α</w:t>
      </w:r>
      <w:r w:rsidR="009A15D7" w:rsidRPr="00276CAE">
        <w:rPr>
          <w:rFonts w:ascii="Times New Roman" w:hAnsi="Times New Roman" w:cs="Times New Roman"/>
          <w:b/>
          <w:sz w:val="28"/>
          <w:szCs w:val="28"/>
        </w:rPr>
        <w:t xml:space="preserve"> εξάμηνο του 2019 με υψηλές </w:t>
      </w:r>
      <w:r w:rsidR="00A44503" w:rsidRPr="00276CAE">
        <w:rPr>
          <w:rFonts w:ascii="Times New Roman" w:hAnsi="Times New Roman" w:cs="Times New Roman"/>
          <w:b/>
          <w:sz w:val="28"/>
          <w:szCs w:val="28"/>
        </w:rPr>
        <w:t>προσδοκίες για το</w:t>
      </w:r>
      <w:r w:rsidR="009A15D7" w:rsidRPr="00276CAE">
        <w:rPr>
          <w:rFonts w:ascii="Times New Roman" w:hAnsi="Times New Roman" w:cs="Times New Roman"/>
          <w:b/>
          <w:sz w:val="28"/>
          <w:szCs w:val="28"/>
        </w:rPr>
        <w:t xml:space="preserve"> μέλλον</w:t>
      </w:r>
    </w:p>
    <w:p w:rsidR="009A15D7" w:rsidRPr="00276CAE" w:rsidRDefault="00ED1D88" w:rsidP="00276CAE">
      <w:pPr>
        <w:pStyle w:val="a5"/>
        <w:numPr>
          <w:ilvl w:val="0"/>
          <w:numId w:val="21"/>
        </w:num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
          <w:sz w:val="28"/>
          <w:szCs w:val="28"/>
        </w:rPr>
      </w:pPr>
      <w:r w:rsidRPr="00276CAE">
        <w:rPr>
          <w:rFonts w:ascii="Times New Roman" w:hAnsi="Times New Roman" w:cs="Times New Roman"/>
          <w:b/>
          <w:sz w:val="28"/>
          <w:szCs w:val="28"/>
        </w:rPr>
        <w:t>Θετικές οι επιδόσεις στην</w:t>
      </w:r>
      <w:r w:rsidR="00A44503" w:rsidRPr="00276CAE">
        <w:rPr>
          <w:rFonts w:ascii="Times New Roman" w:hAnsi="Times New Roman" w:cs="Times New Roman"/>
          <w:b/>
          <w:sz w:val="28"/>
          <w:szCs w:val="28"/>
        </w:rPr>
        <w:t xml:space="preserve"> μεταποίηση</w:t>
      </w:r>
    </w:p>
    <w:p w:rsidR="00A44503" w:rsidRPr="00276CAE" w:rsidRDefault="00ED1D88" w:rsidP="00276CAE">
      <w:pPr>
        <w:pStyle w:val="a5"/>
        <w:numPr>
          <w:ilvl w:val="0"/>
          <w:numId w:val="21"/>
        </w:num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
          <w:sz w:val="24"/>
          <w:szCs w:val="24"/>
        </w:rPr>
      </w:pPr>
      <w:proofErr w:type="spellStart"/>
      <w:r w:rsidRPr="00276CAE">
        <w:rPr>
          <w:rFonts w:ascii="Times New Roman" w:hAnsi="Times New Roman" w:cs="Times New Roman"/>
          <w:b/>
          <w:sz w:val="28"/>
          <w:szCs w:val="28"/>
        </w:rPr>
        <w:t>Υ</w:t>
      </w:r>
      <w:r w:rsidR="00D447E8" w:rsidRPr="00276CAE">
        <w:rPr>
          <w:rFonts w:ascii="Times New Roman" w:hAnsi="Times New Roman" w:cs="Times New Roman"/>
          <w:b/>
          <w:sz w:val="28"/>
          <w:szCs w:val="28"/>
        </w:rPr>
        <w:t>περφορολόγηση</w:t>
      </w:r>
      <w:proofErr w:type="spellEnd"/>
      <w:r w:rsidR="00D447E8" w:rsidRPr="00276CAE">
        <w:rPr>
          <w:rFonts w:ascii="Times New Roman" w:hAnsi="Times New Roman" w:cs="Times New Roman"/>
          <w:b/>
          <w:sz w:val="28"/>
          <w:szCs w:val="28"/>
        </w:rPr>
        <w:t xml:space="preserve"> και </w:t>
      </w:r>
      <w:r w:rsidR="00A44503" w:rsidRPr="00276CAE">
        <w:rPr>
          <w:rFonts w:ascii="Times New Roman" w:hAnsi="Times New Roman" w:cs="Times New Roman"/>
          <w:b/>
          <w:sz w:val="28"/>
          <w:szCs w:val="28"/>
        </w:rPr>
        <w:t xml:space="preserve">έλλειψη χρηματοδότησης </w:t>
      </w:r>
      <w:r w:rsidR="006E5C3E" w:rsidRPr="00276CAE">
        <w:rPr>
          <w:rFonts w:ascii="Times New Roman" w:hAnsi="Times New Roman" w:cs="Times New Roman"/>
          <w:b/>
          <w:sz w:val="28"/>
          <w:szCs w:val="28"/>
        </w:rPr>
        <w:t>ανασχετικοί παράγοντες για</w:t>
      </w:r>
      <w:r w:rsidR="00A44503" w:rsidRPr="00276CAE">
        <w:rPr>
          <w:rFonts w:ascii="Times New Roman" w:hAnsi="Times New Roman" w:cs="Times New Roman"/>
          <w:b/>
          <w:sz w:val="28"/>
          <w:szCs w:val="28"/>
        </w:rPr>
        <w:t xml:space="preserve"> </w:t>
      </w:r>
      <w:r w:rsidR="00495336" w:rsidRPr="00276CAE">
        <w:rPr>
          <w:rFonts w:ascii="Times New Roman" w:hAnsi="Times New Roman" w:cs="Times New Roman"/>
          <w:b/>
          <w:sz w:val="28"/>
          <w:szCs w:val="28"/>
        </w:rPr>
        <w:t>ζήτηση και επενδύσεις</w:t>
      </w:r>
    </w:p>
    <w:p w:rsidR="00276CAE" w:rsidRDefault="00276CAE" w:rsidP="009A15D7">
      <w:pPr>
        <w:spacing w:after="0" w:line="360" w:lineRule="auto"/>
        <w:jc w:val="both"/>
        <w:rPr>
          <w:rFonts w:ascii="Times New Roman" w:eastAsia="Times New Roman" w:hAnsi="Times New Roman" w:cs="Times New Roman"/>
          <w:color w:val="222222"/>
          <w:sz w:val="24"/>
          <w:szCs w:val="24"/>
          <w:lang w:eastAsia="el-GR"/>
        </w:rPr>
      </w:pPr>
    </w:p>
    <w:p w:rsidR="009A15D7" w:rsidRPr="009A15D7" w:rsidRDefault="009A15D7" w:rsidP="009A15D7">
      <w:pPr>
        <w:spacing w:after="0" w:line="360" w:lineRule="auto"/>
        <w:jc w:val="both"/>
        <w:rPr>
          <w:rFonts w:ascii="Times New Roman" w:eastAsia="Times New Roman" w:hAnsi="Times New Roman" w:cs="Times New Roman"/>
          <w:color w:val="222222"/>
          <w:sz w:val="24"/>
          <w:szCs w:val="24"/>
          <w:lang w:eastAsia="el-GR"/>
        </w:rPr>
      </w:pPr>
      <w:r w:rsidRPr="009A15D7">
        <w:rPr>
          <w:rFonts w:ascii="Times New Roman" w:eastAsia="Times New Roman" w:hAnsi="Times New Roman" w:cs="Times New Roman"/>
          <w:color w:val="222222"/>
          <w:sz w:val="24"/>
          <w:szCs w:val="24"/>
          <w:lang w:eastAsia="el-GR"/>
        </w:rPr>
        <w:t>Η εξαμηνιαία έρευνα οικονομικού κλίματος στις μικρές και πολύ μικρές επιχειρήσεις του ΙΜΕ ΓΣΕΒΕΕ, η 22η κατά σειρά, αποτυπώνει σε ένα βαθμό δυο σημαντικές εξελίξεις: α) την κατάσταση των επιχειρήσεων σχεδόν ένα χρόνο μετά από την ολοκλήρωση των προγραμμάτων δημοσιονομικής προσαρμογής της ελληνικής οικονομίας και β) τις προσδοκίες που έχει δημιουργήσει η πρόσφατη αλλαγή της διακυβέρνησης της χώρας ύστερα από τις εθνικές εκλογές της 7</w:t>
      </w:r>
      <w:r w:rsidRPr="009A15D7">
        <w:rPr>
          <w:rFonts w:ascii="Times New Roman" w:eastAsia="Times New Roman" w:hAnsi="Times New Roman" w:cs="Times New Roman"/>
          <w:color w:val="222222"/>
          <w:sz w:val="24"/>
          <w:szCs w:val="24"/>
          <w:vertAlign w:val="superscript"/>
          <w:lang w:eastAsia="el-GR"/>
        </w:rPr>
        <w:t>ης</w:t>
      </w:r>
      <w:r w:rsidRPr="009A15D7">
        <w:rPr>
          <w:rFonts w:ascii="Times New Roman" w:eastAsia="Times New Roman" w:hAnsi="Times New Roman" w:cs="Times New Roman"/>
          <w:color w:val="222222"/>
          <w:sz w:val="24"/>
          <w:szCs w:val="24"/>
          <w:lang w:eastAsia="el-GR"/>
        </w:rPr>
        <w:t> Ιουλίου 2019.</w:t>
      </w:r>
    </w:p>
    <w:p w:rsidR="009A15D7" w:rsidRPr="009A15D7" w:rsidRDefault="009A15D7" w:rsidP="009A15D7">
      <w:pPr>
        <w:spacing w:after="0" w:line="360" w:lineRule="auto"/>
        <w:jc w:val="both"/>
        <w:rPr>
          <w:rFonts w:ascii="Times New Roman" w:eastAsia="Times New Roman" w:hAnsi="Times New Roman" w:cs="Times New Roman"/>
          <w:color w:val="222222"/>
          <w:sz w:val="24"/>
          <w:szCs w:val="24"/>
          <w:lang w:eastAsia="el-GR"/>
        </w:rPr>
      </w:pPr>
      <w:r w:rsidRPr="009A15D7">
        <w:rPr>
          <w:rFonts w:ascii="Times New Roman" w:eastAsia="Times New Roman" w:hAnsi="Times New Roman" w:cs="Times New Roman"/>
          <w:b/>
          <w:bCs/>
          <w:color w:val="222222"/>
          <w:sz w:val="24"/>
          <w:szCs w:val="24"/>
          <w:lang w:eastAsia="el-GR"/>
        </w:rPr>
        <w:t>Α) Η κατάσταση των μικρών και πολύ μικρών επιχειρήσεων μετά την έξοδο της ελληνικής οικονομίας από τα μνημόνια</w:t>
      </w:r>
    </w:p>
    <w:p w:rsidR="009A15D7" w:rsidRPr="009A15D7" w:rsidRDefault="009A15D7" w:rsidP="009A15D7">
      <w:pPr>
        <w:spacing w:after="0" w:line="360" w:lineRule="auto"/>
        <w:jc w:val="both"/>
        <w:rPr>
          <w:rFonts w:ascii="Times New Roman" w:eastAsia="Times New Roman" w:hAnsi="Times New Roman" w:cs="Times New Roman"/>
          <w:color w:val="222222"/>
          <w:sz w:val="24"/>
          <w:szCs w:val="24"/>
          <w:lang w:eastAsia="el-GR"/>
        </w:rPr>
      </w:pPr>
      <w:r w:rsidRPr="009A15D7">
        <w:rPr>
          <w:rFonts w:ascii="Times New Roman" w:eastAsia="Times New Roman" w:hAnsi="Times New Roman" w:cs="Times New Roman"/>
          <w:color w:val="222222"/>
          <w:sz w:val="24"/>
          <w:szCs w:val="24"/>
          <w:lang w:eastAsia="el-GR"/>
        </w:rPr>
        <w:t>Στις τέσσερις προηγούμενες έρευνες κλίματος του ΙΜΕ ΓΣΕΒΕΕ είχε αρχίσει να καταγράφεται μια βελτίωση της οικονομικής δραστηριότητας των μικρών και πολύ μικρών επιχειρήσεων, που ωστόσο οφειλόταν περισσότερο στην ενίσχυση των τάσεων σταθεροποίησης των βασικών δεικτών των ερευνών κλίματος και λιγότερο στην ενίσχυση των δεικτών βελτίωσης της επιχειρηματικής δραστηριότητας. Εξαίρεση αποτέλεσε η προηγούμενη έρευνα (Φεβρουάριος 2019) όπου καταγράφηκε σημαντική αύξηση των δεικτών βελτίωσης με αντίστοιχη μείωση των δεικτών επιδείνωσης για το Β εξάμηνο του 2018, αποτυπώνοντας τις θετικές συνέπειες της εξόδου της ελληνικής οικονομίας από τα μνημόνια.</w:t>
      </w:r>
    </w:p>
    <w:p w:rsidR="009A15D7" w:rsidRPr="009A15D7" w:rsidRDefault="009A15D7" w:rsidP="009A15D7">
      <w:pPr>
        <w:spacing w:after="0" w:line="360" w:lineRule="auto"/>
        <w:jc w:val="both"/>
        <w:rPr>
          <w:rFonts w:ascii="Times New Roman" w:eastAsia="Times New Roman" w:hAnsi="Times New Roman" w:cs="Times New Roman"/>
          <w:color w:val="222222"/>
          <w:sz w:val="24"/>
          <w:szCs w:val="24"/>
          <w:lang w:eastAsia="el-GR"/>
        </w:rPr>
      </w:pPr>
      <w:r w:rsidRPr="009A15D7">
        <w:rPr>
          <w:rFonts w:ascii="Times New Roman" w:eastAsia="Times New Roman" w:hAnsi="Times New Roman" w:cs="Times New Roman"/>
          <w:color w:val="222222"/>
          <w:sz w:val="24"/>
          <w:szCs w:val="24"/>
          <w:lang w:eastAsia="el-GR"/>
        </w:rPr>
        <w:t>Ωστόσο η τάση αυτή δεν συνεχίστηκε και για το Α εξάμηνο του 2019 όπου καταγράφεται μια επιβράδυνση της οικονομικής δραστηριότητας ενισχύοντας εκ νέου την υπόθεση της σταθεροποίησης έναντι της ανάκαμψης των μικρομεσαίων επιχειρήσεων. Στο πλαίσιο αυτό</w:t>
      </w:r>
      <w:r w:rsidR="00221694" w:rsidRPr="00221694">
        <w:rPr>
          <w:rFonts w:ascii="Times New Roman" w:eastAsia="Times New Roman" w:hAnsi="Times New Roman" w:cs="Times New Roman"/>
          <w:color w:val="222222"/>
          <w:sz w:val="24"/>
          <w:szCs w:val="24"/>
          <w:lang w:eastAsia="el-GR"/>
        </w:rPr>
        <w:t>,</w:t>
      </w:r>
      <w:r w:rsidRPr="009A15D7">
        <w:rPr>
          <w:rFonts w:ascii="Times New Roman" w:eastAsia="Times New Roman" w:hAnsi="Times New Roman" w:cs="Times New Roman"/>
          <w:color w:val="222222"/>
          <w:sz w:val="24"/>
          <w:szCs w:val="24"/>
          <w:lang w:eastAsia="el-GR"/>
        </w:rPr>
        <w:t xml:space="preserve"> ο γενικός δείκτης οικονομικού κλίματος των ΜμΕ του ΙΜΕ ΓΣΕΒΕΕ συνεχίζει να αυξάνεται περαιτέρω, με χαμηλότερη όμως </w:t>
      </w:r>
      <w:r w:rsidRPr="009A15D7">
        <w:rPr>
          <w:rFonts w:ascii="Times New Roman" w:eastAsia="Times New Roman" w:hAnsi="Times New Roman" w:cs="Times New Roman"/>
          <w:color w:val="222222"/>
          <w:sz w:val="24"/>
          <w:szCs w:val="24"/>
          <w:lang w:eastAsia="el-GR"/>
        </w:rPr>
        <w:lastRenderedPageBreak/>
        <w:t>ένταση.  Διαμορφώνεται στις 61,9 μονάδες (ιστορικό υψηλό δεκαετίας), έναντι 58,8 μονάδων τον Ιανουάριο του 2019 και  53 μονάδων τον Ιούλιο του 2018.</w:t>
      </w:r>
    </w:p>
    <w:p w:rsidR="009A15D7" w:rsidRPr="009A15D7" w:rsidRDefault="009A15D7" w:rsidP="009A15D7">
      <w:pPr>
        <w:spacing w:after="0" w:line="360" w:lineRule="auto"/>
        <w:jc w:val="both"/>
        <w:rPr>
          <w:rFonts w:ascii="Times New Roman" w:eastAsia="Times New Roman" w:hAnsi="Times New Roman" w:cs="Times New Roman"/>
          <w:color w:val="222222"/>
          <w:sz w:val="24"/>
          <w:szCs w:val="24"/>
          <w:lang w:eastAsia="el-GR"/>
        </w:rPr>
      </w:pPr>
      <w:r w:rsidRPr="009A15D7">
        <w:rPr>
          <w:rFonts w:ascii="Times New Roman" w:eastAsia="Times New Roman" w:hAnsi="Times New Roman" w:cs="Times New Roman"/>
          <w:color w:val="222222"/>
          <w:sz w:val="24"/>
          <w:szCs w:val="24"/>
          <w:lang w:eastAsia="el-GR"/>
        </w:rPr>
        <w:t>Η επιβράδυνση της οικονομικής δραστηριότητας των ΜμΕ για το Α εξάμηνο του 2019 γίνεται περισσότερο εμφανής εξετάζοντας τους επιμέρους δείκτες οικονομικού κλίματος του ΙΜΕ ΓΣΕΒΕΕ. Ειδικότερα ο δείκτης κύκλου εργασιών των πολύ μικρών και μικρών επιχειρήσεων μετά την σημαντική αύξηση που κατέγραψε το Β εξάμηνο του 2018 διαμορφώνεται στις 58,4 μονάδες έναντι 62,3 τον Ιανουάριο του 2019 και 51,8 τον Ιούλιο του 2018. Ανάλογη είναι η εικόνα και στον δείκτη ζήτησης όπου διαμορφώνεται στις 61 μονάδες, έναντι 63,9 μονάδων τον Φεβρουάριο του 2019 και 54,2 μονάδων τον Ιούλιο του 2018.</w:t>
      </w:r>
    </w:p>
    <w:p w:rsidR="009A15D7" w:rsidRPr="009A15D7" w:rsidRDefault="009A15D7" w:rsidP="009A15D7">
      <w:pPr>
        <w:spacing w:after="0" w:line="360" w:lineRule="auto"/>
        <w:jc w:val="both"/>
        <w:rPr>
          <w:rFonts w:ascii="Times New Roman" w:eastAsia="Times New Roman" w:hAnsi="Times New Roman" w:cs="Times New Roman"/>
          <w:color w:val="222222"/>
          <w:sz w:val="24"/>
          <w:szCs w:val="24"/>
          <w:lang w:eastAsia="el-GR"/>
        </w:rPr>
      </w:pPr>
      <w:r w:rsidRPr="009A15D7">
        <w:rPr>
          <w:rFonts w:ascii="Times New Roman" w:eastAsia="Times New Roman" w:hAnsi="Times New Roman" w:cs="Times New Roman"/>
          <w:color w:val="222222"/>
          <w:sz w:val="24"/>
          <w:szCs w:val="24"/>
          <w:lang w:eastAsia="el-GR"/>
        </w:rPr>
        <w:t>Η επιβράδυνση που καταγράφεται στην έρευνα του ΙΜΕ ΓΣΕΒΕΕ συμβαδίζει με τα στοιχεία που έχουν δημοσιευτεί από την ΕΛΣΤΑΤ. Ενδεικτικά αναφέρονται ο κύκλος εργασιών στην βιομηχανία, στο λιανικό και χονδρικό εμπόριο και στον τομέα της παροχής υπηρεσιών καταλύματος και εστίασης όπου σημειώνεται πτώση στους κύκλους εργασιών των παραπάνω κλάδων. Συνάδει επίσης με την επιβράδυνση που καταγράφεται στο ΑΕΠ για το 1</w:t>
      </w:r>
      <w:r w:rsidRPr="009A15D7">
        <w:rPr>
          <w:rFonts w:ascii="Times New Roman" w:eastAsia="Times New Roman" w:hAnsi="Times New Roman" w:cs="Times New Roman"/>
          <w:color w:val="222222"/>
          <w:sz w:val="24"/>
          <w:szCs w:val="24"/>
          <w:vertAlign w:val="superscript"/>
          <w:lang w:eastAsia="el-GR"/>
        </w:rPr>
        <w:t>ο</w:t>
      </w:r>
      <w:r w:rsidRPr="009A15D7">
        <w:rPr>
          <w:rFonts w:ascii="Times New Roman" w:eastAsia="Times New Roman" w:hAnsi="Times New Roman" w:cs="Times New Roman"/>
          <w:color w:val="222222"/>
          <w:sz w:val="24"/>
          <w:szCs w:val="24"/>
          <w:lang w:eastAsia="el-GR"/>
        </w:rPr>
        <w:t> τρίμηνο του 2019 (ΕΛΣΤΑΤ) όπου,  αν και παρουσιάζει αύξηση της τάξης του 0,2</w:t>
      </w:r>
      <w:r w:rsidR="006E5C3E">
        <w:rPr>
          <w:rFonts w:ascii="Times New Roman" w:eastAsia="Times New Roman" w:hAnsi="Times New Roman" w:cs="Times New Roman"/>
          <w:color w:val="222222"/>
          <w:sz w:val="24"/>
          <w:szCs w:val="24"/>
          <w:lang w:eastAsia="el-GR"/>
        </w:rPr>
        <w:t>%</w:t>
      </w:r>
      <w:r w:rsidRPr="009A15D7">
        <w:rPr>
          <w:rFonts w:ascii="Times New Roman" w:eastAsia="Times New Roman" w:hAnsi="Times New Roman" w:cs="Times New Roman"/>
          <w:color w:val="222222"/>
          <w:sz w:val="24"/>
          <w:szCs w:val="24"/>
          <w:lang w:eastAsia="el-GR"/>
        </w:rPr>
        <w:t xml:space="preserve"> σε σχέση με το προηγούμενο τρίμηνο και 1,3% σε σχέση με το προηγούμενο έτος, υπολείπεται της αντίστοιχης αύξησης του 2018 σε σύγκριση με το 2017 (0,5% και 2,6% αντίστοιχα). Επιπλέον η συνολική καταναλωτική δαπάνη που θα μπορούσε να τροφοδοτήσει περαιτέρω την οικονομική δραστηριότητα ουσιαστικά δεν μεταβλήθηκε καταγράφοντας το 1</w:t>
      </w:r>
      <w:r w:rsidRPr="009A15D7">
        <w:rPr>
          <w:rFonts w:ascii="Times New Roman" w:eastAsia="Times New Roman" w:hAnsi="Times New Roman" w:cs="Times New Roman"/>
          <w:color w:val="222222"/>
          <w:sz w:val="24"/>
          <w:szCs w:val="24"/>
          <w:vertAlign w:val="superscript"/>
          <w:lang w:eastAsia="el-GR"/>
        </w:rPr>
        <w:t>ο</w:t>
      </w:r>
      <w:r w:rsidRPr="009A15D7">
        <w:rPr>
          <w:rFonts w:ascii="Times New Roman" w:eastAsia="Times New Roman" w:hAnsi="Times New Roman" w:cs="Times New Roman"/>
          <w:color w:val="222222"/>
          <w:sz w:val="24"/>
          <w:szCs w:val="24"/>
          <w:lang w:eastAsia="el-GR"/>
        </w:rPr>
        <w:t>  τρίμηνο του 2019 μείωση κατά -0,1% σε σχέση με το προηγούμενο τρίμηνο και αύξηση 0,1% σε σχέση με το αντίστοιχο τρίμηνο του 2018 (ΕΛΣΤΑΤ).  Η διατήρηση της μάλιστα σε αυτό το επίπεδο οφείλεται στην αύξηση της ιδιωτικής κατανάλωσης κατά 0,2%, που φαίνεται πως τροφοδοτήθηκε κυρίως από την αύξηση  του κατώτατου μισθού, η οποία  όμως εξανεμίζεται από την σημαντική μείωση κατά -5% της δημόσιας κατανάλωσης, προκειμένου να επιτευχθούν οι στόχοι για το πρωτογενές πλεόνασμα.</w:t>
      </w:r>
    </w:p>
    <w:p w:rsidR="009A15D7" w:rsidRPr="009A15D7" w:rsidRDefault="009A15D7" w:rsidP="009A15D7">
      <w:pPr>
        <w:spacing w:after="0" w:line="360" w:lineRule="auto"/>
        <w:jc w:val="both"/>
        <w:rPr>
          <w:rFonts w:ascii="Times New Roman" w:eastAsia="Times New Roman" w:hAnsi="Times New Roman" w:cs="Times New Roman"/>
          <w:color w:val="222222"/>
          <w:sz w:val="24"/>
          <w:szCs w:val="24"/>
          <w:lang w:eastAsia="el-GR"/>
        </w:rPr>
      </w:pPr>
      <w:r w:rsidRPr="009A15D7">
        <w:rPr>
          <w:rFonts w:ascii="Times New Roman" w:eastAsia="Times New Roman" w:hAnsi="Times New Roman" w:cs="Times New Roman"/>
          <w:color w:val="222222"/>
          <w:sz w:val="24"/>
          <w:szCs w:val="24"/>
          <w:lang w:eastAsia="el-GR"/>
        </w:rPr>
        <w:t>Όσον αφορά την ρευστότητα ο σχετικός δείκτης,  παρά την βελτίωση που καταγράφει (53 μονάδες έναντι  51,4 το Φεβρουάριο του 2019) συνεχίζει να διατηρεί χαμηλές επιδόσεις σε σύγκριση με τους υπόλοιπους δείκτες, επιβεβαιώνοντας ότι η απουσία ή αδυναμία πρόσβασης σε χρηματοδότηση αποτελεί μόνιμο διαρθρωτικό χαρακτηριστικό της ελληνικής μικρής και πολύ μικρής επιχειρηματικότητας, και ως τέτοιο επηρεάζει τις προοπτικές ανάκαμψης ιδίως των πολύ μικρών επιχειρήσεων. Άλλωστε σε ακόμη μια έρευνα του ΙΜΕ ΓΣΕΒΕΕ είναι εμφανής η απουσία τραπεζικής χρηματοδότησης ιδίως των πολύ μικρών επιχειρήσεων. Αποτελεί πλέον διαχρονικό χαρακτηριστικό ότι 9 στις 10 μικρές και πολύ μικρές επιχειρήσεις δεν αναζητούν τραπεζική χρηματοδότηση ενώ από τις λίγες επιχειρήσεις που απευθύνονται προς τις τράπεζες τελικά μόνο οι μισές χρηματοδοτούνται. </w:t>
      </w:r>
    </w:p>
    <w:p w:rsidR="009A15D7" w:rsidRPr="009A15D7" w:rsidRDefault="009A15D7" w:rsidP="009A15D7">
      <w:pPr>
        <w:spacing w:after="0" w:line="360" w:lineRule="auto"/>
        <w:jc w:val="both"/>
        <w:rPr>
          <w:rFonts w:ascii="Times New Roman" w:eastAsia="Times New Roman" w:hAnsi="Times New Roman" w:cs="Times New Roman"/>
          <w:color w:val="222222"/>
          <w:sz w:val="24"/>
          <w:szCs w:val="24"/>
          <w:lang w:eastAsia="el-GR"/>
        </w:rPr>
      </w:pPr>
      <w:r w:rsidRPr="009A15D7">
        <w:rPr>
          <w:rFonts w:ascii="Times New Roman" w:eastAsia="Times New Roman" w:hAnsi="Times New Roman" w:cs="Times New Roman"/>
          <w:color w:val="222222"/>
          <w:sz w:val="24"/>
          <w:szCs w:val="24"/>
          <w:lang w:eastAsia="el-GR"/>
        </w:rPr>
        <w:t xml:space="preserve">Ως προς την επενδυτική δραστηριότητα τα στοιχεία του Α εξαμήνου του 2019 είναι ελαφρώς καλύτερα σε σχέση με εκείνα του β εξαμήνου του 2018. Συγκεκριμένα το 14,9% των ερωτώμενων δήλωσαν ότι </w:t>
      </w:r>
      <w:r w:rsidRPr="009A15D7">
        <w:rPr>
          <w:rFonts w:ascii="Times New Roman" w:eastAsia="Times New Roman" w:hAnsi="Times New Roman" w:cs="Times New Roman"/>
          <w:color w:val="222222"/>
          <w:sz w:val="24"/>
          <w:szCs w:val="24"/>
          <w:lang w:eastAsia="el-GR"/>
        </w:rPr>
        <w:lastRenderedPageBreak/>
        <w:t xml:space="preserve">αύξησαν την επενδυτική τους δραστηριότητα (13% το Β εξάμηνο του 2018) γεγονός που </w:t>
      </w:r>
      <w:r w:rsidR="0042564C">
        <w:rPr>
          <w:rFonts w:ascii="Times New Roman" w:eastAsia="Times New Roman" w:hAnsi="Times New Roman" w:cs="Times New Roman"/>
          <w:color w:val="222222"/>
          <w:sz w:val="24"/>
          <w:szCs w:val="24"/>
          <w:lang w:eastAsia="el-GR"/>
        </w:rPr>
        <w:t>συμβαδίζει</w:t>
      </w:r>
      <w:r w:rsidRPr="009A15D7">
        <w:rPr>
          <w:rFonts w:ascii="Times New Roman" w:eastAsia="Times New Roman" w:hAnsi="Times New Roman" w:cs="Times New Roman"/>
          <w:color w:val="222222"/>
          <w:sz w:val="24"/>
          <w:szCs w:val="24"/>
          <w:lang w:eastAsia="el-GR"/>
        </w:rPr>
        <w:t xml:space="preserve"> </w:t>
      </w:r>
      <w:r w:rsidR="001056DB">
        <w:rPr>
          <w:rFonts w:ascii="Times New Roman" w:eastAsia="Times New Roman" w:hAnsi="Times New Roman" w:cs="Times New Roman"/>
          <w:color w:val="222222"/>
          <w:sz w:val="24"/>
          <w:szCs w:val="24"/>
          <w:lang w:eastAsia="el-GR"/>
        </w:rPr>
        <w:t>με</w:t>
      </w:r>
      <w:r w:rsidRPr="009A15D7">
        <w:rPr>
          <w:rFonts w:ascii="Times New Roman" w:eastAsia="Times New Roman" w:hAnsi="Times New Roman" w:cs="Times New Roman"/>
          <w:color w:val="222222"/>
          <w:sz w:val="24"/>
          <w:szCs w:val="24"/>
          <w:lang w:eastAsia="el-GR"/>
        </w:rPr>
        <w:t xml:space="preserve"> τα  στοιχεία της ΕΛΣΤΑΤ όπου ο ακαθάριστος σχηματισμός παγίου κεφαλαίου για το 1ο τρίμηνο του 2019 εμφανίζεται αυξημένος σε σχέση με το προηγούμενο τρίμηνο.</w:t>
      </w:r>
    </w:p>
    <w:p w:rsidR="009A15D7" w:rsidRPr="009A15D7" w:rsidRDefault="009A15D7" w:rsidP="009A15D7">
      <w:pPr>
        <w:spacing w:after="0" w:line="360" w:lineRule="auto"/>
        <w:jc w:val="both"/>
        <w:rPr>
          <w:rFonts w:ascii="Times New Roman" w:eastAsia="Times New Roman" w:hAnsi="Times New Roman" w:cs="Times New Roman"/>
          <w:color w:val="222222"/>
          <w:sz w:val="24"/>
          <w:szCs w:val="24"/>
          <w:lang w:eastAsia="el-GR"/>
        </w:rPr>
      </w:pPr>
      <w:r w:rsidRPr="009A15D7">
        <w:rPr>
          <w:rFonts w:ascii="Times New Roman" w:eastAsia="Times New Roman" w:hAnsi="Times New Roman" w:cs="Times New Roman"/>
          <w:color w:val="222222"/>
          <w:sz w:val="24"/>
          <w:szCs w:val="24"/>
          <w:lang w:eastAsia="el-GR"/>
        </w:rPr>
        <w:t xml:space="preserve">Ωστόσο η απουσία χρηματοδότησης όπως ήδη προαναφέρθηκε σε συνδυασμό με την υπερφορολόγηση και την απουσία κινήτρων καθιστούν τις επενδύσεις αυτές περιορισμένης κλίμακας. Αυτό  προκύπτει από το εύρημα ότι οι 9 στις 10 επιχειρήσεις (88,5%) χρηματοδοτούν τις επενδύσεις τους με ίδια κεφάλαια </w:t>
      </w:r>
      <w:r w:rsidR="0042564C">
        <w:rPr>
          <w:rFonts w:ascii="Times New Roman" w:eastAsia="Times New Roman" w:hAnsi="Times New Roman" w:cs="Times New Roman"/>
          <w:color w:val="222222"/>
          <w:sz w:val="24"/>
          <w:szCs w:val="24"/>
          <w:lang w:eastAsia="el-GR"/>
        </w:rPr>
        <w:t>ενώ</w:t>
      </w:r>
      <w:r w:rsidRPr="009A15D7">
        <w:rPr>
          <w:rFonts w:ascii="Times New Roman" w:eastAsia="Times New Roman" w:hAnsi="Times New Roman" w:cs="Times New Roman"/>
          <w:color w:val="222222"/>
          <w:sz w:val="24"/>
          <w:szCs w:val="24"/>
          <w:lang w:eastAsia="el-GR"/>
        </w:rPr>
        <w:t xml:space="preserve"> μόλις το 4,1% τις χρηματοδοτεί μέσω τραπεζικού δανεισμού. Η δυσκολία του χρηματοπιστωτικού τομέα να χρηματοδοτήσει την πραγματική οικονομία έχει εξελιχθεί σε ένα σοβαρό διαρθρωτικό πρόβλημα που σε συνδυασμό με την υπερφορολόγηση και την υπερχρέωση καθηλώνει τις προοπτικές ανάπτυξης.</w:t>
      </w:r>
    </w:p>
    <w:p w:rsidR="009A15D7" w:rsidRPr="009A15D7" w:rsidRDefault="009A15D7" w:rsidP="009A15D7">
      <w:pPr>
        <w:spacing w:after="0" w:line="360" w:lineRule="auto"/>
        <w:jc w:val="both"/>
        <w:rPr>
          <w:rFonts w:ascii="Times New Roman" w:eastAsia="Times New Roman" w:hAnsi="Times New Roman" w:cs="Times New Roman"/>
          <w:color w:val="222222"/>
          <w:sz w:val="24"/>
          <w:szCs w:val="24"/>
          <w:lang w:eastAsia="el-GR"/>
        </w:rPr>
      </w:pPr>
      <w:r w:rsidRPr="009A15D7">
        <w:rPr>
          <w:rFonts w:ascii="Times New Roman" w:eastAsia="Times New Roman" w:hAnsi="Times New Roman" w:cs="Times New Roman"/>
          <w:color w:val="222222"/>
          <w:sz w:val="24"/>
          <w:szCs w:val="24"/>
          <w:lang w:eastAsia="el-GR"/>
        </w:rPr>
        <w:t>Η θεσμοθέτηση από την προηγούμενη κυβέρνηση και η αναμενόμενη δημιουργία και  λειτουργία από την υφιστάμενη κυβέρνηση της Ελληνικής Αναπτυξιακής Τράπεζας εφόσον θα επικεντρώνεται στις ανάγκες των μικρών και πολύ μικρών επιχειρήσεων παρέχοντας τόσο κεφαλαία για την πραγματοποίηση επενδύσεων, όσο και κεφάλαια για την καθημερινή λειτουργία των επιχειρήσεων, όπως δάνεια μικροχρηματοδότησης ή ακόμα και υπηρεσίες </w:t>
      </w:r>
      <w:r w:rsidRPr="009A15D7">
        <w:rPr>
          <w:rFonts w:ascii="Times New Roman" w:eastAsia="Times New Roman" w:hAnsi="Times New Roman" w:cs="Times New Roman"/>
          <w:color w:val="222222"/>
          <w:sz w:val="24"/>
          <w:szCs w:val="24"/>
          <w:lang w:val="en-US" w:eastAsia="el-GR"/>
        </w:rPr>
        <w:t>factoring</w:t>
      </w:r>
      <w:r w:rsidRPr="009A15D7">
        <w:rPr>
          <w:rFonts w:ascii="Times New Roman" w:eastAsia="Times New Roman" w:hAnsi="Times New Roman" w:cs="Times New Roman"/>
          <w:color w:val="222222"/>
          <w:sz w:val="24"/>
          <w:szCs w:val="24"/>
          <w:lang w:eastAsia="el-GR"/>
        </w:rPr>
        <w:t xml:space="preserve"> (ιδίως προεξόφλησης τιμολογίων) </w:t>
      </w:r>
      <w:r w:rsidR="000B5F5C">
        <w:rPr>
          <w:rFonts w:ascii="Times New Roman" w:eastAsia="Times New Roman" w:hAnsi="Times New Roman" w:cs="Times New Roman"/>
          <w:color w:val="222222"/>
          <w:sz w:val="24"/>
          <w:szCs w:val="24"/>
          <w:lang w:eastAsia="el-GR"/>
        </w:rPr>
        <w:t>μπορεί να</w:t>
      </w:r>
      <w:r w:rsidRPr="009A15D7">
        <w:rPr>
          <w:rFonts w:ascii="Times New Roman" w:eastAsia="Times New Roman" w:hAnsi="Times New Roman" w:cs="Times New Roman"/>
          <w:color w:val="222222"/>
          <w:sz w:val="24"/>
          <w:szCs w:val="24"/>
          <w:lang w:eastAsia="el-GR"/>
        </w:rPr>
        <w:t xml:space="preserve"> απελευθερώσει παραγωγικές δυνάμεις με έντονο αναπτυξιακό αποτύπωμα.</w:t>
      </w:r>
    </w:p>
    <w:p w:rsidR="009A15D7" w:rsidRPr="009A15D7" w:rsidRDefault="009A15D7" w:rsidP="009A15D7">
      <w:pPr>
        <w:spacing w:after="0" w:line="360" w:lineRule="auto"/>
        <w:jc w:val="both"/>
        <w:rPr>
          <w:rFonts w:ascii="Times New Roman" w:eastAsia="Times New Roman" w:hAnsi="Times New Roman" w:cs="Times New Roman"/>
          <w:color w:val="222222"/>
          <w:sz w:val="24"/>
          <w:szCs w:val="24"/>
          <w:lang w:eastAsia="el-GR"/>
        </w:rPr>
      </w:pPr>
      <w:r w:rsidRPr="009A15D7">
        <w:rPr>
          <w:rFonts w:ascii="Times New Roman" w:eastAsia="Times New Roman" w:hAnsi="Times New Roman" w:cs="Times New Roman"/>
          <w:color w:val="222222"/>
          <w:sz w:val="24"/>
          <w:szCs w:val="24"/>
          <w:lang w:eastAsia="el-GR"/>
        </w:rPr>
        <w:t xml:space="preserve">Και σε αυτήν την έρευνα του ΙΜΕ ΓΣΕΒΕΕ τα προβλήματα και οι προοπτικές των επιχειρήσεων δεν χαρακτηρίζονται από ομοιογένεια. Διατηρείται ο ιδιότυπος οικονομικός δυισμός μεταξύ των επιχειρήσεων ανάλογα με το μέγεθος και την ηλικία </w:t>
      </w:r>
      <w:r w:rsidR="0042564C">
        <w:rPr>
          <w:rFonts w:ascii="Times New Roman" w:eastAsia="Times New Roman" w:hAnsi="Times New Roman" w:cs="Times New Roman"/>
          <w:color w:val="222222"/>
          <w:sz w:val="24"/>
          <w:szCs w:val="24"/>
          <w:lang w:eastAsia="el-GR"/>
        </w:rPr>
        <w:t>τους,</w:t>
      </w:r>
      <w:r w:rsidRPr="009A15D7">
        <w:rPr>
          <w:rFonts w:ascii="Times New Roman" w:eastAsia="Times New Roman" w:hAnsi="Times New Roman" w:cs="Times New Roman"/>
          <w:color w:val="222222"/>
          <w:sz w:val="24"/>
          <w:szCs w:val="24"/>
          <w:lang w:eastAsia="el-GR"/>
        </w:rPr>
        <w:t xml:space="preserve"> όπως έχει αναλυθεί στις προηγούμενες έρευνες οικονομικού κλίματος. Σε αυτήν ωστόσο την έρευνα αναδύεται και μια νέα μορφή οικονομικού δυισμού με κλαδική διάσταση. Εκείνο, δηλαδή, που  αποτυπώνεται πολύ έντονα και για πρώτη φορά είναι η σημαντική βελτίωση των δεικτών του κλάδου της μεταποίησης κατά περίπου 10 μονάδες έναντι των κλάδων του εμπορίου και των υπηρεσιών. Η βελτίωση της οικονομικής δραστηριότητας των μεταποιητικών επιχειρήσεων  υποστηρίζεται και από το εύρημα ότι κατά μ.ο. αξιοποιούν το 60,7% του παραγωγικού τους δυναμικού, ποσοστό σημαντικά υψηλότερο σε σχέση με το 2017 που ήταν στο 51,3%. Η βελτίωση της μεταποιητικής δραστηριότητας αναμφίβολα αποτελεί ένα από τα θετικά στοιχεία της έρευνας κλίματος. Το επόμενο ωστόσο διάστημα θα φανεί εάν τα στοιχεία αυτά είναι συγκυριακά ή αποτελούν τα πρώτα σημάδια μετασχηματισμού των επιχειρήσεων του μεταποιητικού κλάδου και αναγωγής του σε </w:t>
      </w:r>
      <w:r w:rsidR="001056DB">
        <w:rPr>
          <w:rFonts w:ascii="Times New Roman" w:eastAsia="Times New Roman" w:hAnsi="Times New Roman" w:cs="Times New Roman"/>
          <w:color w:val="222222"/>
          <w:sz w:val="24"/>
          <w:szCs w:val="24"/>
          <w:lang w:eastAsia="el-GR"/>
        </w:rPr>
        <w:t>ατμομηχανή</w:t>
      </w:r>
      <w:r w:rsidRPr="009A15D7">
        <w:rPr>
          <w:rFonts w:ascii="Times New Roman" w:eastAsia="Times New Roman" w:hAnsi="Times New Roman" w:cs="Times New Roman"/>
          <w:color w:val="222222"/>
          <w:sz w:val="24"/>
          <w:szCs w:val="24"/>
          <w:lang w:eastAsia="el-GR"/>
        </w:rPr>
        <w:t xml:space="preserve"> της ανάπτυξης.</w:t>
      </w:r>
    </w:p>
    <w:p w:rsidR="009A15D7" w:rsidRPr="009A15D7" w:rsidRDefault="009A15D7" w:rsidP="009A15D7">
      <w:pPr>
        <w:spacing w:after="0" w:line="360" w:lineRule="auto"/>
        <w:jc w:val="both"/>
        <w:rPr>
          <w:rFonts w:ascii="Times New Roman" w:eastAsia="Times New Roman" w:hAnsi="Times New Roman" w:cs="Times New Roman"/>
          <w:b/>
          <w:color w:val="222222"/>
          <w:sz w:val="24"/>
          <w:szCs w:val="24"/>
          <w:lang w:eastAsia="el-GR"/>
        </w:rPr>
      </w:pPr>
      <w:r w:rsidRPr="009A15D7">
        <w:rPr>
          <w:rFonts w:ascii="Times New Roman" w:eastAsia="Times New Roman" w:hAnsi="Times New Roman" w:cs="Times New Roman"/>
          <w:b/>
          <w:color w:val="222222"/>
          <w:sz w:val="24"/>
          <w:szCs w:val="24"/>
          <w:lang w:eastAsia="el-GR"/>
        </w:rPr>
        <w:t>Β) Οι προσδοκίες/προβλέψεις των μικρών και πολύ μικρών επιχειρήσεων μετά από τις εκλογές της 7</w:t>
      </w:r>
      <w:r w:rsidRPr="009A15D7">
        <w:rPr>
          <w:rFonts w:ascii="Times New Roman" w:eastAsia="Times New Roman" w:hAnsi="Times New Roman" w:cs="Times New Roman"/>
          <w:b/>
          <w:color w:val="222222"/>
          <w:sz w:val="24"/>
          <w:szCs w:val="24"/>
          <w:vertAlign w:val="superscript"/>
          <w:lang w:eastAsia="el-GR"/>
        </w:rPr>
        <w:t>ης</w:t>
      </w:r>
      <w:r w:rsidRPr="009A15D7">
        <w:rPr>
          <w:rFonts w:ascii="Times New Roman" w:eastAsia="Times New Roman" w:hAnsi="Times New Roman" w:cs="Times New Roman"/>
          <w:b/>
          <w:color w:val="222222"/>
          <w:sz w:val="24"/>
          <w:szCs w:val="24"/>
          <w:lang w:eastAsia="el-GR"/>
        </w:rPr>
        <w:t> Ιουλίου</w:t>
      </w:r>
    </w:p>
    <w:p w:rsidR="009A15D7" w:rsidRPr="009A15D7" w:rsidRDefault="009A15D7" w:rsidP="009A15D7">
      <w:pPr>
        <w:spacing w:after="0" w:line="360" w:lineRule="auto"/>
        <w:jc w:val="both"/>
        <w:rPr>
          <w:rFonts w:ascii="Times New Roman" w:eastAsia="Times New Roman" w:hAnsi="Times New Roman" w:cs="Times New Roman"/>
          <w:color w:val="222222"/>
          <w:sz w:val="24"/>
          <w:szCs w:val="24"/>
          <w:lang w:eastAsia="el-GR"/>
        </w:rPr>
      </w:pPr>
      <w:r w:rsidRPr="009A15D7">
        <w:rPr>
          <w:rFonts w:ascii="Times New Roman" w:eastAsia="Times New Roman" w:hAnsi="Times New Roman" w:cs="Times New Roman"/>
          <w:color w:val="222222"/>
          <w:sz w:val="24"/>
          <w:szCs w:val="24"/>
          <w:lang w:eastAsia="el-GR"/>
        </w:rPr>
        <w:t xml:space="preserve">Οι προσδοκίες σχετικά με την πορεία των επιχειρήσεων το επόμενο εξάμηνο καταγράφουν ιστορικό υψηλό δεκαετίας. Μάλιστα για πρώτη φορά στις έρευνες κλίματος του ΙΜΕ ΓΣΕΒΕΕ τόσο ο γενικός δείκτης για την οικονομική κατάσταση το επόμενο εξάμηνο όσο και οι επιμέρους δείκτες προσδοκιών του κύκλου εργασιών, της ζήτησης, της ρευστότητας, των παραγγελιών και της απασχόλησης υπερτερούν των δεικτών </w:t>
      </w:r>
      <w:r w:rsidRPr="009A15D7">
        <w:rPr>
          <w:rFonts w:ascii="Times New Roman" w:eastAsia="Times New Roman" w:hAnsi="Times New Roman" w:cs="Times New Roman"/>
          <w:color w:val="222222"/>
          <w:sz w:val="24"/>
          <w:szCs w:val="24"/>
          <w:lang w:eastAsia="el-GR"/>
        </w:rPr>
        <w:lastRenderedPageBreak/>
        <w:t>επιδείνωσης.  Το 31% των επιχειρήσεων αναμένει βελτίωση (έναντι 26,4% τον Ιανουάριο 2019 και 17,5% τον Ιούλιο 2018), το 38,5% καμία μεταβολή (έναντι 38,2% τον Ιανουάριο 2019 και 36,8% τον Ιούλιο 2018), ενώ μόλις το 16,6% των επιχειρήσεων αναμένει επιδείνωση (έναντι 29,3% τον Ιανουάριο του 2019 και 37,6% τον Ιούλιο του 2018).</w:t>
      </w:r>
    </w:p>
    <w:p w:rsidR="009A15D7" w:rsidRPr="009A15D7" w:rsidRDefault="009A15D7" w:rsidP="009A15D7">
      <w:pPr>
        <w:spacing w:after="0" w:line="360" w:lineRule="auto"/>
        <w:jc w:val="both"/>
        <w:rPr>
          <w:rFonts w:ascii="Times New Roman" w:eastAsia="Times New Roman" w:hAnsi="Times New Roman" w:cs="Times New Roman"/>
          <w:color w:val="222222"/>
          <w:sz w:val="24"/>
          <w:szCs w:val="24"/>
          <w:lang w:eastAsia="el-GR"/>
        </w:rPr>
      </w:pPr>
      <w:r w:rsidRPr="009A15D7">
        <w:rPr>
          <w:rFonts w:ascii="Times New Roman" w:eastAsia="Times New Roman" w:hAnsi="Times New Roman" w:cs="Times New Roman"/>
          <w:color w:val="222222"/>
          <w:sz w:val="24"/>
          <w:szCs w:val="24"/>
          <w:lang w:eastAsia="el-GR"/>
        </w:rPr>
        <w:t>Ως προς τις επενδυτικές προβλέψεις για το επόμενο εξάμηνο η έρευνα καταγράφει το μεγαλύτερο ποσοστό πρόθεσης αύξησης των επενδύσεων των ερευνών οικονομικού κλίματος του ΙΜΕ ΓΣΕΒΕΕ καθώς το 15,4% των επιχειρήσεων δηλώνει πως θα πραγματοποιήσει επενδύσεις το επόμενο διάστημα.</w:t>
      </w:r>
    </w:p>
    <w:p w:rsidR="009A15D7" w:rsidRPr="009A15D7" w:rsidRDefault="009A15D7" w:rsidP="009A15D7">
      <w:pPr>
        <w:spacing w:after="0" w:line="360" w:lineRule="auto"/>
        <w:jc w:val="both"/>
        <w:rPr>
          <w:rFonts w:ascii="Times New Roman" w:eastAsia="Times New Roman" w:hAnsi="Times New Roman" w:cs="Times New Roman"/>
          <w:color w:val="222222"/>
          <w:sz w:val="24"/>
          <w:szCs w:val="24"/>
          <w:lang w:eastAsia="el-GR"/>
        </w:rPr>
      </w:pPr>
      <w:r w:rsidRPr="009A15D7">
        <w:rPr>
          <w:rFonts w:ascii="Times New Roman" w:eastAsia="Times New Roman" w:hAnsi="Times New Roman" w:cs="Times New Roman"/>
          <w:color w:val="222222"/>
          <w:sz w:val="24"/>
          <w:szCs w:val="24"/>
          <w:lang w:eastAsia="el-GR"/>
        </w:rPr>
        <w:t>Εάν τα στοιχεία αυτά επιβεβαιωθούν και σε συνδυασμό με την θετική ψυχολογία που έχει δημιουργηθεί από την μείωση της φορολογίας και τις πρόσφατες ασφαλιστικές και φορολογικές ρυθμίσεις, πιθανόν να δημιουργήσουν τις προϋποθέσεις επίτευξης του στόχου του πρωτογενούς πλεονάσματος για το 2019. Ωστόσο αυτό ε</w:t>
      </w:r>
      <w:r w:rsidR="00221694">
        <w:rPr>
          <w:rFonts w:ascii="Times New Roman" w:eastAsia="Times New Roman" w:hAnsi="Times New Roman" w:cs="Times New Roman"/>
          <w:color w:val="222222"/>
          <w:sz w:val="24"/>
          <w:szCs w:val="24"/>
          <w:lang w:eastAsia="el-GR"/>
        </w:rPr>
        <w:t xml:space="preserve">ξαρτάται από την πορεία </w:t>
      </w:r>
      <w:r w:rsidRPr="009A15D7">
        <w:rPr>
          <w:rFonts w:ascii="Times New Roman" w:eastAsia="Times New Roman" w:hAnsi="Times New Roman" w:cs="Times New Roman"/>
          <w:color w:val="222222"/>
          <w:sz w:val="24"/>
          <w:szCs w:val="24"/>
          <w:lang w:eastAsia="el-GR"/>
        </w:rPr>
        <w:t>του τουρισμού, όσο και από τις εξελίξεις στο πεδίο των διεθνών  οικονομικών ανταγωνισμών και των γεωπολιτικών κινδύνων.</w:t>
      </w:r>
    </w:p>
    <w:p w:rsidR="009A15D7" w:rsidRPr="009A15D7" w:rsidRDefault="009A15D7" w:rsidP="009A15D7">
      <w:pPr>
        <w:spacing w:after="0" w:line="360" w:lineRule="auto"/>
        <w:jc w:val="both"/>
        <w:rPr>
          <w:rFonts w:ascii="Times New Roman" w:eastAsia="Times New Roman" w:hAnsi="Times New Roman" w:cs="Times New Roman"/>
          <w:color w:val="222222"/>
          <w:sz w:val="24"/>
          <w:szCs w:val="24"/>
          <w:lang w:eastAsia="el-GR"/>
        </w:rPr>
      </w:pPr>
      <w:r w:rsidRPr="009A15D7">
        <w:rPr>
          <w:rFonts w:ascii="Times New Roman" w:eastAsia="Times New Roman" w:hAnsi="Times New Roman" w:cs="Times New Roman"/>
          <w:color w:val="222222"/>
          <w:sz w:val="24"/>
          <w:szCs w:val="24"/>
          <w:lang w:eastAsia="el-GR"/>
        </w:rPr>
        <w:t> Τα κυριότερα συμπεράσματα της έρευνας του ΙΜΕ ΓΣΕΒΕΕ, που πραγματοποιήθηκε από την εταιρεία MARC ΑΕ σε πανελλαδικό δείγμα 806 πολύ μικρών και μικρών επιχειρήσεων (0-49 άτομα προσωπικό) στο διάστημα 15-23 Ιουλίου 2019, έχουν ως εξής:</w:t>
      </w:r>
    </w:p>
    <w:p w:rsidR="009A15D7" w:rsidRPr="009A15D7" w:rsidRDefault="009A15D7" w:rsidP="009A15D7">
      <w:pPr>
        <w:spacing w:after="0" w:line="360" w:lineRule="auto"/>
        <w:rPr>
          <w:rFonts w:ascii="Times New Roman" w:eastAsia="Times New Roman" w:hAnsi="Times New Roman" w:cs="Times New Roman"/>
          <w:color w:val="222222"/>
          <w:sz w:val="24"/>
          <w:szCs w:val="24"/>
          <w:lang w:eastAsia="el-GR"/>
        </w:rPr>
      </w:pPr>
      <w:r w:rsidRPr="009A15D7">
        <w:rPr>
          <w:rFonts w:ascii="Times New Roman" w:eastAsia="Times New Roman" w:hAnsi="Times New Roman" w:cs="Times New Roman"/>
          <w:color w:val="222222"/>
          <w:sz w:val="24"/>
          <w:szCs w:val="24"/>
          <w:lang w:eastAsia="el-GR"/>
        </w:rPr>
        <w:t> </w:t>
      </w:r>
    </w:p>
    <w:p w:rsidR="00255CE9" w:rsidRPr="0042564C" w:rsidRDefault="00255CE9" w:rsidP="0042564C">
      <w:pPr>
        <w:spacing w:after="0" w:line="360" w:lineRule="auto"/>
        <w:rPr>
          <w:rFonts w:ascii="Times New Roman" w:hAnsi="Times New Roman" w:cs="Times New Roman"/>
          <w:b/>
          <w:sz w:val="24"/>
          <w:szCs w:val="24"/>
        </w:rPr>
      </w:pPr>
      <w:r w:rsidRPr="0042564C">
        <w:rPr>
          <w:rFonts w:ascii="Times New Roman" w:hAnsi="Times New Roman" w:cs="Times New Roman"/>
          <w:b/>
          <w:sz w:val="24"/>
          <w:szCs w:val="24"/>
        </w:rPr>
        <w:t>Α. ΓΕΝΙΚΟ ΠΛΑΙΣΙΟ – ΑΠΟΤΙΜΗΣΗ/ ΠΡΟΒΛΕΨΕΙΣ</w:t>
      </w:r>
    </w:p>
    <w:p w:rsidR="00255CE9" w:rsidRPr="0042564C" w:rsidRDefault="00221694" w:rsidP="0042564C">
      <w:pPr>
        <w:pStyle w:val="a5"/>
        <w:numPr>
          <w:ilvl w:val="0"/>
          <w:numId w:val="1"/>
        </w:num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Μετά τη</w:t>
      </w:r>
      <w:r w:rsidR="002C4D33" w:rsidRPr="0042564C">
        <w:rPr>
          <w:rFonts w:ascii="Times New Roman" w:hAnsi="Times New Roman" w:cs="Times New Roman"/>
          <w:b/>
          <w:sz w:val="24"/>
          <w:szCs w:val="24"/>
        </w:rPr>
        <w:t xml:space="preserve"> σημαντική βελτίωση που καταγράφηκε  στο Β</w:t>
      </w:r>
      <w:r w:rsidR="00255CE9" w:rsidRPr="0042564C">
        <w:rPr>
          <w:rFonts w:ascii="Times New Roman" w:hAnsi="Times New Roman" w:cs="Times New Roman"/>
          <w:b/>
          <w:sz w:val="24"/>
          <w:szCs w:val="24"/>
        </w:rPr>
        <w:t xml:space="preserve"> εξάμηνο του 2018</w:t>
      </w:r>
      <w:r w:rsidR="009308BA" w:rsidRPr="0042564C">
        <w:rPr>
          <w:rFonts w:ascii="Times New Roman" w:hAnsi="Times New Roman" w:cs="Times New Roman"/>
          <w:b/>
          <w:sz w:val="24"/>
          <w:szCs w:val="24"/>
        </w:rPr>
        <w:t>,</w:t>
      </w:r>
      <w:r w:rsidR="00255CE9" w:rsidRPr="0042564C">
        <w:rPr>
          <w:rFonts w:ascii="Times New Roman" w:hAnsi="Times New Roman" w:cs="Times New Roman"/>
          <w:b/>
          <w:sz w:val="24"/>
          <w:szCs w:val="24"/>
        </w:rPr>
        <w:t xml:space="preserve"> </w:t>
      </w:r>
      <w:r w:rsidR="00461C17" w:rsidRPr="0042564C">
        <w:rPr>
          <w:rFonts w:ascii="Times New Roman" w:hAnsi="Times New Roman" w:cs="Times New Roman"/>
          <w:b/>
          <w:sz w:val="24"/>
          <w:szCs w:val="24"/>
        </w:rPr>
        <w:t>ιδίως</w:t>
      </w:r>
      <w:r w:rsidR="00255CE9" w:rsidRPr="0042564C">
        <w:rPr>
          <w:rFonts w:ascii="Times New Roman" w:hAnsi="Times New Roman" w:cs="Times New Roman"/>
          <w:b/>
          <w:sz w:val="24"/>
          <w:szCs w:val="24"/>
        </w:rPr>
        <w:t xml:space="preserve">  στους επιμέρους δείκτες </w:t>
      </w:r>
      <w:r w:rsidR="00373DAE" w:rsidRPr="0042564C">
        <w:rPr>
          <w:rFonts w:ascii="Times New Roman" w:hAnsi="Times New Roman" w:cs="Times New Roman"/>
          <w:b/>
          <w:sz w:val="24"/>
          <w:szCs w:val="24"/>
        </w:rPr>
        <w:t>της έρευνας</w:t>
      </w:r>
      <w:r w:rsidR="002C4D33" w:rsidRPr="0042564C">
        <w:rPr>
          <w:rFonts w:ascii="Times New Roman" w:hAnsi="Times New Roman" w:cs="Times New Roman"/>
          <w:b/>
          <w:sz w:val="24"/>
          <w:szCs w:val="24"/>
        </w:rPr>
        <w:t xml:space="preserve"> οικονομικού κλίματος</w:t>
      </w:r>
      <w:r w:rsidR="00373DAE" w:rsidRPr="0042564C">
        <w:rPr>
          <w:rFonts w:ascii="Times New Roman" w:hAnsi="Times New Roman" w:cs="Times New Roman"/>
          <w:b/>
          <w:sz w:val="24"/>
          <w:szCs w:val="24"/>
        </w:rPr>
        <w:t xml:space="preserve"> του ΙΜΕ ΓΣΕΒΕΕ</w:t>
      </w:r>
      <w:r w:rsidR="00255CE9" w:rsidRPr="0042564C">
        <w:rPr>
          <w:rFonts w:ascii="Times New Roman" w:hAnsi="Times New Roman" w:cs="Times New Roman"/>
          <w:b/>
          <w:sz w:val="24"/>
          <w:szCs w:val="24"/>
        </w:rPr>
        <w:t xml:space="preserve">, η αποτίμηση του Α’ εξαμήνου </w:t>
      </w:r>
      <w:r w:rsidR="00373DAE" w:rsidRPr="0042564C">
        <w:rPr>
          <w:rFonts w:ascii="Times New Roman" w:hAnsi="Times New Roman" w:cs="Times New Roman"/>
          <w:b/>
          <w:sz w:val="24"/>
          <w:szCs w:val="24"/>
        </w:rPr>
        <w:t xml:space="preserve">του </w:t>
      </w:r>
      <w:r w:rsidR="00255CE9" w:rsidRPr="0042564C">
        <w:rPr>
          <w:rFonts w:ascii="Times New Roman" w:hAnsi="Times New Roman" w:cs="Times New Roman"/>
          <w:b/>
          <w:sz w:val="24"/>
          <w:szCs w:val="24"/>
        </w:rPr>
        <w:t>2019</w:t>
      </w:r>
      <w:r w:rsidR="00461C17" w:rsidRPr="0042564C">
        <w:rPr>
          <w:rFonts w:ascii="Times New Roman" w:hAnsi="Times New Roman" w:cs="Times New Roman"/>
          <w:b/>
          <w:sz w:val="24"/>
          <w:szCs w:val="24"/>
        </w:rPr>
        <w:t xml:space="preserve"> ενισχύει κυρίως</w:t>
      </w:r>
      <w:r w:rsidR="00255CE9" w:rsidRPr="0042564C">
        <w:rPr>
          <w:rFonts w:ascii="Times New Roman" w:hAnsi="Times New Roman" w:cs="Times New Roman"/>
          <w:b/>
          <w:sz w:val="24"/>
          <w:szCs w:val="24"/>
        </w:rPr>
        <w:t xml:space="preserve"> την υπόθεση της σταθεροποίησης </w:t>
      </w:r>
      <w:r w:rsidR="00461C17" w:rsidRPr="0042564C">
        <w:rPr>
          <w:rFonts w:ascii="Times New Roman" w:hAnsi="Times New Roman" w:cs="Times New Roman"/>
          <w:b/>
          <w:sz w:val="24"/>
          <w:szCs w:val="24"/>
        </w:rPr>
        <w:t>έναντι της</w:t>
      </w:r>
      <w:r w:rsidR="00255CE9" w:rsidRPr="0042564C">
        <w:rPr>
          <w:rFonts w:ascii="Times New Roman" w:hAnsi="Times New Roman" w:cs="Times New Roman"/>
          <w:b/>
          <w:sz w:val="24"/>
          <w:szCs w:val="24"/>
        </w:rPr>
        <w:t xml:space="preserve"> σταδιακής ανάκαμψης των μικρομεσαίων επιχειρήσεων</w:t>
      </w:r>
      <w:r w:rsidR="00461C17" w:rsidRPr="0042564C">
        <w:rPr>
          <w:rFonts w:ascii="Times New Roman" w:hAnsi="Times New Roman" w:cs="Times New Roman"/>
          <w:b/>
          <w:sz w:val="24"/>
          <w:szCs w:val="24"/>
        </w:rPr>
        <w:t>.</w:t>
      </w:r>
      <w:r w:rsidR="00255CE9" w:rsidRPr="0042564C">
        <w:rPr>
          <w:rFonts w:ascii="Times New Roman" w:hAnsi="Times New Roman" w:cs="Times New Roman"/>
          <w:b/>
          <w:sz w:val="24"/>
          <w:szCs w:val="24"/>
        </w:rPr>
        <w:t xml:space="preserve"> </w:t>
      </w:r>
      <w:r w:rsidR="00461C17" w:rsidRPr="0042564C">
        <w:rPr>
          <w:rFonts w:ascii="Times New Roman" w:hAnsi="Times New Roman" w:cs="Times New Roman"/>
          <w:b/>
          <w:sz w:val="24"/>
          <w:szCs w:val="24"/>
        </w:rPr>
        <w:t>Παρά ωστόσο την επιβράδυνση που καταγράφεται, ο γενικός δείκτης οικονομικού κλίματος ενισχύεται περαιτέρω, αν και με χαμηλότερη ένταση, σημειώνοντας</w:t>
      </w:r>
      <w:r w:rsidR="00255CE9" w:rsidRPr="0042564C">
        <w:rPr>
          <w:rFonts w:ascii="Times New Roman" w:hAnsi="Times New Roman" w:cs="Times New Roman"/>
          <w:b/>
          <w:sz w:val="24"/>
          <w:szCs w:val="24"/>
        </w:rPr>
        <w:t xml:space="preserve"> ιστορικό υψηλό δεκαετίας</w:t>
      </w:r>
      <w:r w:rsidR="00461C17" w:rsidRPr="0042564C">
        <w:rPr>
          <w:rFonts w:ascii="Times New Roman" w:hAnsi="Times New Roman" w:cs="Times New Roman"/>
          <w:b/>
          <w:sz w:val="24"/>
          <w:szCs w:val="24"/>
        </w:rPr>
        <w:t>.</w:t>
      </w:r>
      <w:r w:rsidR="00255CE9" w:rsidRPr="0042564C">
        <w:rPr>
          <w:rFonts w:ascii="Times New Roman" w:hAnsi="Times New Roman" w:cs="Times New Roman"/>
          <w:b/>
          <w:sz w:val="24"/>
          <w:szCs w:val="24"/>
        </w:rPr>
        <w:t xml:space="preserve"> Ο γενικός δείκτης οικονομικού κλίματος </w:t>
      </w:r>
      <w:r w:rsidR="00A66FA1" w:rsidRPr="0042564C">
        <w:rPr>
          <w:rFonts w:ascii="Times New Roman" w:hAnsi="Times New Roman" w:cs="Times New Roman"/>
          <w:b/>
          <w:sz w:val="24"/>
          <w:szCs w:val="24"/>
        </w:rPr>
        <w:t xml:space="preserve">για τις μικρές και πολύ μικρές επιχειρήσεις του ΙΜΕ ΓΣΕΒΕΕ </w:t>
      </w:r>
      <w:r w:rsidR="00255CE9" w:rsidRPr="0042564C">
        <w:rPr>
          <w:rFonts w:ascii="Times New Roman" w:hAnsi="Times New Roman" w:cs="Times New Roman"/>
          <w:b/>
          <w:sz w:val="24"/>
          <w:szCs w:val="24"/>
        </w:rPr>
        <w:t>διαμορφώνεται στις 61,9</w:t>
      </w:r>
      <w:r w:rsidR="00A66FA1" w:rsidRPr="0042564C">
        <w:rPr>
          <w:rFonts w:ascii="Times New Roman" w:hAnsi="Times New Roman" w:cs="Times New Roman"/>
          <w:b/>
          <w:sz w:val="24"/>
          <w:szCs w:val="24"/>
        </w:rPr>
        <w:t xml:space="preserve"> μονάδες (έναντι 58,8 μονάδων τον Ιανουάριο του 2019 και </w:t>
      </w:r>
      <w:r w:rsidR="00255CE9" w:rsidRPr="0042564C">
        <w:rPr>
          <w:rFonts w:ascii="Times New Roman" w:hAnsi="Times New Roman" w:cs="Times New Roman"/>
          <w:b/>
          <w:sz w:val="24"/>
          <w:szCs w:val="24"/>
        </w:rPr>
        <w:t xml:space="preserve"> </w:t>
      </w:r>
      <w:r w:rsidR="00A66FA1" w:rsidRPr="0042564C">
        <w:rPr>
          <w:rFonts w:ascii="Times New Roman" w:hAnsi="Times New Roman" w:cs="Times New Roman"/>
          <w:b/>
          <w:sz w:val="24"/>
          <w:szCs w:val="24"/>
        </w:rPr>
        <w:t xml:space="preserve">53 μονάδων των Ιούλιο του 2018) </w:t>
      </w:r>
      <w:r w:rsidR="00255CE9" w:rsidRPr="0042564C">
        <w:rPr>
          <w:rFonts w:ascii="Times New Roman" w:hAnsi="Times New Roman" w:cs="Times New Roman"/>
          <w:b/>
          <w:sz w:val="24"/>
          <w:szCs w:val="24"/>
        </w:rPr>
        <w:t xml:space="preserve">συγκλίνοντας περαιτέρω με τον </w:t>
      </w:r>
      <w:r w:rsidR="00BE2D1D" w:rsidRPr="0042564C">
        <w:rPr>
          <w:rFonts w:ascii="Times New Roman" w:hAnsi="Times New Roman" w:cs="Times New Roman"/>
          <w:b/>
          <w:sz w:val="24"/>
          <w:szCs w:val="24"/>
        </w:rPr>
        <w:t xml:space="preserve">δείκτη του Ευρωπαϊκού Βαρόμετρου για τις ΜΜΕ της </w:t>
      </w:r>
      <w:r w:rsidR="00BE2D1D" w:rsidRPr="0042564C">
        <w:rPr>
          <w:rFonts w:ascii="Times New Roman" w:hAnsi="Times New Roman" w:cs="Times New Roman"/>
          <w:b/>
          <w:sz w:val="24"/>
          <w:szCs w:val="24"/>
          <w:lang w:val="en-US"/>
        </w:rPr>
        <w:t>SME</w:t>
      </w:r>
      <w:r w:rsidR="00BE2D1D" w:rsidRPr="0042564C">
        <w:rPr>
          <w:rFonts w:ascii="Times New Roman" w:hAnsi="Times New Roman" w:cs="Times New Roman"/>
          <w:b/>
          <w:sz w:val="24"/>
          <w:szCs w:val="24"/>
        </w:rPr>
        <w:t xml:space="preserve"> </w:t>
      </w:r>
      <w:r w:rsidR="00BE2D1D" w:rsidRPr="0042564C">
        <w:rPr>
          <w:rFonts w:ascii="Times New Roman" w:hAnsi="Times New Roman" w:cs="Times New Roman"/>
          <w:b/>
          <w:sz w:val="24"/>
          <w:szCs w:val="24"/>
          <w:lang w:val="en-US"/>
        </w:rPr>
        <w:t>United</w:t>
      </w:r>
      <w:r w:rsidR="00BE2D1D" w:rsidRPr="0042564C">
        <w:rPr>
          <w:rFonts w:ascii="Times New Roman" w:hAnsi="Times New Roman" w:cs="Times New Roman"/>
          <w:b/>
          <w:sz w:val="24"/>
          <w:szCs w:val="24"/>
        </w:rPr>
        <w:t xml:space="preserve"> (76,6). Το χάσμα ωστόσο </w:t>
      </w:r>
      <w:r w:rsidR="00BC7F87" w:rsidRPr="0042564C">
        <w:rPr>
          <w:rFonts w:ascii="Times New Roman" w:hAnsi="Times New Roman" w:cs="Times New Roman"/>
          <w:b/>
          <w:sz w:val="24"/>
          <w:szCs w:val="24"/>
        </w:rPr>
        <w:t xml:space="preserve">με τις Ευρωπαϊκές ΜμΕ παραμένει μεγάλο, παρόλο που η διαφορά </w:t>
      </w:r>
      <w:r w:rsidR="00255CE9" w:rsidRPr="0042564C">
        <w:rPr>
          <w:rFonts w:ascii="Times New Roman" w:hAnsi="Times New Roman" w:cs="Times New Roman"/>
          <w:b/>
          <w:sz w:val="24"/>
          <w:szCs w:val="24"/>
        </w:rPr>
        <w:t>μεταξύ Βορρά και περιφέρειας της ΕΕ</w:t>
      </w:r>
      <w:r w:rsidR="00BC7F87" w:rsidRPr="0042564C">
        <w:rPr>
          <w:rFonts w:ascii="Times New Roman" w:hAnsi="Times New Roman" w:cs="Times New Roman"/>
          <w:b/>
          <w:sz w:val="24"/>
          <w:szCs w:val="24"/>
        </w:rPr>
        <w:t xml:space="preserve"> έχει </w:t>
      </w:r>
      <w:r w:rsidR="009308BA" w:rsidRPr="0042564C">
        <w:rPr>
          <w:rFonts w:ascii="Times New Roman" w:hAnsi="Times New Roman" w:cs="Times New Roman"/>
          <w:b/>
          <w:sz w:val="24"/>
          <w:szCs w:val="24"/>
        </w:rPr>
        <w:t>μειωθεί</w:t>
      </w:r>
      <w:r w:rsidR="00BC7F87" w:rsidRPr="0042564C">
        <w:rPr>
          <w:rFonts w:ascii="Times New Roman" w:hAnsi="Times New Roman" w:cs="Times New Roman"/>
          <w:b/>
          <w:sz w:val="24"/>
          <w:szCs w:val="24"/>
        </w:rPr>
        <w:t xml:space="preserve"> σημαντικά</w:t>
      </w:r>
      <w:r w:rsidR="00255CE9" w:rsidRPr="0042564C">
        <w:rPr>
          <w:rFonts w:ascii="Times New Roman" w:hAnsi="Times New Roman" w:cs="Times New Roman"/>
          <w:b/>
          <w:sz w:val="24"/>
          <w:szCs w:val="24"/>
        </w:rPr>
        <w:t>.</w:t>
      </w:r>
    </w:p>
    <w:p w:rsidR="00255CE9" w:rsidRPr="0042564C" w:rsidRDefault="00255CE9" w:rsidP="0042564C">
      <w:pPr>
        <w:pStyle w:val="a5"/>
        <w:numPr>
          <w:ilvl w:val="0"/>
          <w:numId w:val="1"/>
        </w:num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
          <w:sz w:val="24"/>
          <w:szCs w:val="24"/>
        </w:rPr>
      </w:pPr>
      <w:r w:rsidRPr="0042564C">
        <w:rPr>
          <w:rFonts w:ascii="Times New Roman" w:hAnsi="Times New Roman" w:cs="Times New Roman"/>
          <w:b/>
          <w:sz w:val="24"/>
          <w:szCs w:val="24"/>
        </w:rPr>
        <w:t xml:space="preserve">Εξακολουθεί να παρατηρείται </w:t>
      </w:r>
      <w:r w:rsidR="00BC7F87" w:rsidRPr="0042564C">
        <w:rPr>
          <w:rFonts w:ascii="Times New Roman" w:hAnsi="Times New Roman" w:cs="Times New Roman"/>
          <w:b/>
          <w:sz w:val="24"/>
          <w:szCs w:val="24"/>
        </w:rPr>
        <w:t xml:space="preserve">πτώση των αρνητικών δεικτών </w:t>
      </w:r>
      <w:r w:rsidRPr="0042564C">
        <w:rPr>
          <w:rFonts w:ascii="Times New Roman" w:hAnsi="Times New Roman" w:cs="Times New Roman"/>
          <w:b/>
          <w:sz w:val="24"/>
          <w:szCs w:val="24"/>
        </w:rPr>
        <w:t xml:space="preserve">και εδραίωση της σταθεροποίησης στις ελληνικές μικρές και πολύ </w:t>
      </w:r>
      <w:r w:rsidR="00BC7F87" w:rsidRPr="0042564C">
        <w:rPr>
          <w:rFonts w:ascii="Times New Roman" w:hAnsi="Times New Roman" w:cs="Times New Roman"/>
          <w:b/>
          <w:sz w:val="24"/>
          <w:szCs w:val="24"/>
        </w:rPr>
        <w:t>μικρές επιχειρήσεις</w:t>
      </w:r>
      <w:r w:rsidRPr="0042564C">
        <w:rPr>
          <w:rFonts w:ascii="Times New Roman" w:hAnsi="Times New Roman" w:cs="Times New Roman"/>
          <w:b/>
          <w:sz w:val="24"/>
          <w:szCs w:val="24"/>
        </w:rPr>
        <w:t xml:space="preserve">. </w:t>
      </w:r>
      <w:r w:rsidR="00BC7F87" w:rsidRPr="0042564C">
        <w:rPr>
          <w:rFonts w:ascii="Times New Roman" w:hAnsi="Times New Roman" w:cs="Times New Roman"/>
          <w:b/>
          <w:sz w:val="24"/>
          <w:szCs w:val="24"/>
        </w:rPr>
        <w:t xml:space="preserve">Ωστόσο μετά από τις </w:t>
      </w:r>
      <w:r w:rsidR="00461C17" w:rsidRPr="0042564C">
        <w:rPr>
          <w:rFonts w:ascii="Times New Roman" w:hAnsi="Times New Roman" w:cs="Times New Roman"/>
          <w:b/>
          <w:sz w:val="24"/>
          <w:szCs w:val="24"/>
        </w:rPr>
        <w:t>4</w:t>
      </w:r>
      <w:r w:rsidR="00BC7F87" w:rsidRPr="0042564C">
        <w:rPr>
          <w:rFonts w:ascii="Times New Roman" w:hAnsi="Times New Roman" w:cs="Times New Roman"/>
          <w:b/>
          <w:sz w:val="24"/>
          <w:szCs w:val="24"/>
        </w:rPr>
        <w:t xml:space="preserve"> προηγούμενες έρευνες όπου καταγράφηκε κυρίως </w:t>
      </w:r>
      <w:r w:rsidR="00373DAE" w:rsidRPr="0042564C">
        <w:rPr>
          <w:rFonts w:ascii="Times New Roman" w:hAnsi="Times New Roman" w:cs="Times New Roman"/>
          <w:b/>
          <w:sz w:val="24"/>
          <w:szCs w:val="24"/>
        </w:rPr>
        <w:t>άνοδος</w:t>
      </w:r>
      <w:r w:rsidR="00BC7F87" w:rsidRPr="0042564C">
        <w:rPr>
          <w:rFonts w:ascii="Times New Roman" w:hAnsi="Times New Roman" w:cs="Times New Roman"/>
          <w:b/>
          <w:sz w:val="24"/>
          <w:szCs w:val="24"/>
        </w:rPr>
        <w:t xml:space="preserve"> των δεικτών </w:t>
      </w:r>
      <w:r w:rsidR="009308BA" w:rsidRPr="0042564C">
        <w:rPr>
          <w:rFonts w:ascii="Times New Roman" w:hAnsi="Times New Roman" w:cs="Times New Roman"/>
          <w:b/>
          <w:sz w:val="24"/>
          <w:szCs w:val="24"/>
        </w:rPr>
        <w:t xml:space="preserve">σταθεροποίησης και </w:t>
      </w:r>
      <w:r w:rsidR="00BC7F87" w:rsidRPr="0042564C">
        <w:rPr>
          <w:rFonts w:ascii="Times New Roman" w:hAnsi="Times New Roman" w:cs="Times New Roman"/>
          <w:b/>
          <w:sz w:val="24"/>
          <w:szCs w:val="24"/>
        </w:rPr>
        <w:t>βελτίωσης της επιχειρηματικής δραστηριότητας</w:t>
      </w:r>
      <w:r w:rsidR="00221694">
        <w:rPr>
          <w:rFonts w:ascii="Times New Roman" w:hAnsi="Times New Roman" w:cs="Times New Roman"/>
          <w:b/>
          <w:sz w:val="24"/>
          <w:szCs w:val="24"/>
        </w:rPr>
        <w:t>,</w:t>
      </w:r>
      <w:r w:rsidR="00BC7F87" w:rsidRPr="0042564C">
        <w:rPr>
          <w:rFonts w:ascii="Times New Roman" w:hAnsi="Times New Roman" w:cs="Times New Roman"/>
          <w:b/>
          <w:sz w:val="24"/>
          <w:szCs w:val="24"/>
        </w:rPr>
        <w:t xml:space="preserve"> </w:t>
      </w:r>
      <w:r w:rsidRPr="0042564C">
        <w:rPr>
          <w:rFonts w:ascii="Times New Roman" w:hAnsi="Times New Roman" w:cs="Times New Roman"/>
          <w:b/>
          <w:sz w:val="24"/>
          <w:szCs w:val="24"/>
        </w:rPr>
        <w:t xml:space="preserve">σε αυτήν την έρευνα </w:t>
      </w:r>
      <w:r w:rsidR="00BC7F87" w:rsidRPr="0042564C">
        <w:rPr>
          <w:rFonts w:ascii="Times New Roman" w:hAnsi="Times New Roman" w:cs="Times New Roman"/>
          <w:b/>
          <w:sz w:val="24"/>
          <w:szCs w:val="24"/>
        </w:rPr>
        <w:t xml:space="preserve">παρατηρείται μια επιβράδυνση της </w:t>
      </w:r>
      <w:r w:rsidR="00BC7F87" w:rsidRPr="0042564C">
        <w:rPr>
          <w:rFonts w:ascii="Times New Roman" w:hAnsi="Times New Roman" w:cs="Times New Roman"/>
          <w:b/>
          <w:sz w:val="24"/>
          <w:szCs w:val="24"/>
        </w:rPr>
        <w:lastRenderedPageBreak/>
        <w:t xml:space="preserve">οικονομικής δραστηριότητας για το </w:t>
      </w:r>
      <w:r w:rsidR="009308BA" w:rsidRPr="0042564C">
        <w:rPr>
          <w:rFonts w:ascii="Times New Roman" w:hAnsi="Times New Roman" w:cs="Times New Roman"/>
          <w:b/>
          <w:sz w:val="24"/>
          <w:szCs w:val="24"/>
        </w:rPr>
        <w:t>Α</w:t>
      </w:r>
      <w:r w:rsidR="00BC7F87" w:rsidRPr="0042564C">
        <w:rPr>
          <w:rFonts w:ascii="Times New Roman" w:hAnsi="Times New Roman" w:cs="Times New Roman"/>
          <w:b/>
          <w:sz w:val="24"/>
          <w:szCs w:val="24"/>
        </w:rPr>
        <w:t xml:space="preserve"> εξάμηνο του 2019 με ενίσχυση κυρίως των δεικτών σταθεροποίησης και πτώση των δεικτών βελτίωσης</w:t>
      </w:r>
      <w:r w:rsidRPr="0042564C">
        <w:rPr>
          <w:rFonts w:ascii="Times New Roman" w:hAnsi="Times New Roman" w:cs="Times New Roman"/>
          <w:b/>
          <w:sz w:val="24"/>
          <w:szCs w:val="24"/>
        </w:rPr>
        <w:t xml:space="preserve">. </w:t>
      </w:r>
    </w:p>
    <w:p w:rsidR="00255CE9" w:rsidRPr="0042564C" w:rsidRDefault="00056442" w:rsidP="0042564C">
      <w:pPr>
        <w:pStyle w:val="a5"/>
        <w:numPr>
          <w:ilvl w:val="0"/>
          <w:numId w:val="1"/>
        </w:num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
          <w:sz w:val="24"/>
          <w:szCs w:val="24"/>
        </w:rPr>
      </w:pPr>
      <w:r w:rsidRPr="0042564C">
        <w:rPr>
          <w:rFonts w:ascii="Times New Roman" w:hAnsi="Times New Roman" w:cs="Times New Roman"/>
          <w:b/>
          <w:sz w:val="24"/>
          <w:szCs w:val="24"/>
        </w:rPr>
        <w:t xml:space="preserve">Οι μεταποιητικές επιχειρήσεις </w:t>
      </w:r>
      <w:r w:rsidR="00255CE9" w:rsidRPr="0042564C">
        <w:rPr>
          <w:rFonts w:ascii="Times New Roman" w:hAnsi="Times New Roman" w:cs="Times New Roman"/>
          <w:b/>
          <w:sz w:val="24"/>
          <w:szCs w:val="24"/>
        </w:rPr>
        <w:t xml:space="preserve">παρουσιάζουν </w:t>
      </w:r>
      <w:r w:rsidRPr="0042564C">
        <w:rPr>
          <w:rFonts w:ascii="Times New Roman" w:hAnsi="Times New Roman" w:cs="Times New Roman"/>
          <w:b/>
          <w:sz w:val="24"/>
          <w:szCs w:val="24"/>
        </w:rPr>
        <w:t>τις καλύτερες επιδόσεις</w:t>
      </w:r>
      <w:r w:rsidR="00255CE9" w:rsidRPr="0042564C">
        <w:rPr>
          <w:rFonts w:ascii="Times New Roman" w:hAnsi="Times New Roman" w:cs="Times New Roman"/>
          <w:b/>
          <w:sz w:val="24"/>
          <w:szCs w:val="24"/>
        </w:rPr>
        <w:t xml:space="preserve">, σε </w:t>
      </w:r>
      <w:r w:rsidRPr="0042564C">
        <w:rPr>
          <w:rFonts w:ascii="Times New Roman" w:hAnsi="Times New Roman" w:cs="Times New Roman"/>
          <w:b/>
          <w:sz w:val="24"/>
          <w:szCs w:val="24"/>
        </w:rPr>
        <w:t>σχέση με το</w:t>
      </w:r>
      <w:r w:rsidR="009308BA" w:rsidRPr="0042564C">
        <w:rPr>
          <w:rFonts w:ascii="Times New Roman" w:hAnsi="Times New Roman" w:cs="Times New Roman"/>
          <w:b/>
          <w:sz w:val="24"/>
          <w:szCs w:val="24"/>
        </w:rPr>
        <w:t xml:space="preserve"> εμπόριο</w:t>
      </w:r>
      <w:r w:rsidRPr="0042564C">
        <w:rPr>
          <w:rFonts w:ascii="Times New Roman" w:hAnsi="Times New Roman" w:cs="Times New Roman"/>
          <w:b/>
          <w:sz w:val="24"/>
          <w:szCs w:val="24"/>
        </w:rPr>
        <w:t xml:space="preserve"> και τις υπηρεσίες</w:t>
      </w:r>
      <w:r w:rsidR="009308BA" w:rsidRPr="0042564C">
        <w:rPr>
          <w:rFonts w:ascii="Times New Roman" w:hAnsi="Times New Roman" w:cs="Times New Roman"/>
          <w:b/>
          <w:sz w:val="24"/>
          <w:szCs w:val="24"/>
        </w:rPr>
        <w:t>,</w:t>
      </w:r>
      <w:r w:rsidRPr="0042564C">
        <w:rPr>
          <w:rFonts w:ascii="Times New Roman" w:hAnsi="Times New Roman" w:cs="Times New Roman"/>
          <w:b/>
          <w:sz w:val="24"/>
          <w:szCs w:val="24"/>
        </w:rPr>
        <w:t xml:space="preserve"> όπου</w:t>
      </w:r>
      <w:r w:rsidR="00255CE9" w:rsidRPr="0042564C">
        <w:rPr>
          <w:rFonts w:ascii="Times New Roman" w:hAnsi="Times New Roman" w:cs="Times New Roman"/>
          <w:b/>
          <w:sz w:val="24"/>
          <w:szCs w:val="24"/>
        </w:rPr>
        <w:t xml:space="preserve"> </w:t>
      </w:r>
      <w:r w:rsidR="009308BA" w:rsidRPr="0042564C">
        <w:rPr>
          <w:rFonts w:ascii="Times New Roman" w:hAnsi="Times New Roman" w:cs="Times New Roman"/>
          <w:b/>
          <w:sz w:val="24"/>
          <w:szCs w:val="24"/>
        </w:rPr>
        <w:t>καταγράφεται</w:t>
      </w:r>
      <w:r w:rsidR="00255CE9" w:rsidRPr="0042564C">
        <w:rPr>
          <w:rFonts w:ascii="Times New Roman" w:hAnsi="Times New Roman" w:cs="Times New Roman"/>
          <w:b/>
          <w:sz w:val="24"/>
          <w:szCs w:val="24"/>
        </w:rPr>
        <w:t xml:space="preserve"> μια υστέρηση της τάξεως περίπου </w:t>
      </w:r>
      <w:r w:rsidR="00642DDF" w:rsidRPr="0042564C">
        <w:rPr>
          <w:rFonts w:ascii="Times New Roman" w:hAnsi="Times New Roman" w:cs="Times New Roman"/>
          <w:b/>
          <w:sz w:val="24"/>
          <w:szCs w:val="24"/>
        </w:rPr>
        <w:t>των 10 μονάδων</w:t>
      </w:r>
      <w:r w:rsidR="00255CE9" w:rsidRPr="0042564C">
        <w:rPr>
          <w:rFonts w:ascii="Times New Roman" w:hAnsi="Times New Roman" w:cs="Times New Roman"/>
          <w:b/>
          <w:sz w:val="24"/>
          <w:szCs w:val="24"/>
        </w:rPr>
        <w:t xml:space="preserve"> σε σύγκριση με </w:t>
      </w:r>
      <w:r w:rsidRPr="0042564C">
        <w:rPr>
          <w:rFonts w:ascii="Times New Roman" w:hAnsi="Times New Roman" w:cs="Times New Roman"/>
          <w:b/>
          <w:sz w:val="24"/>
          <w:szCs w:val="24"/>
        </w:rPr>
        <w:t>την μεταποίηση στον κύκλο εργασιών, την ζήτηση, τις παραγγελίες και την ρευστότητα</w:t>
      </w:r>
      <w:r w:rsidR="00255CE9" w:rsidRPr="0042564C">
        <w:rPr>
          <w:rFonts w:ascii="Times New Roman" w:hAnsi="Times New Roman" w:cs="Times New Roman"/>
          <w:b/>
          <w:sz w:val="24"/>
          <w:szCs w:val="24"/>
        </w:rPr>
        <w:t xml:space="preserve">. </w:t>
      </w:r>
      <w:r w:rsidR="00A90087" w:rsidRPr="0042564C">
        <w:rPr>
          <w:rFonts w:ascii="Times New Roman" w:hAnsi="Times New Roman" w:cs="Times New Roman"/>
          <w:b/>
          <w:sz w:val="24"/>
          <w:szCs w:val="24"/>
        </w:rPr>
        <w:t>Α</w:t>
      </w:r>
      <w:r w:rsidRPr="0042564C">
        <w:rPr>
          <w:rFonts w:ascii="Times New Roman" w:hAnsi="Times New Roman" w:cs="Times New Roman"/>
          <w:b/>
          <w:sz w:val="24"/>
          <w:szCs w:val="24"/>
        </w:rPr>
        <w:t>νάλογη είναι και η εικόνα σε σχέση με την ηλικία και το μέγεθος των επιχειρήσεων</w:t>
      </w:r>
      <w:r w:rsidR="00255CE9" w:rsidRPr="0042564C">
        <w:rPr>
          <w:rFonts w:ascii="Times New Roman" w:hAnsi="Times New Roman" w:cs="Times New Roman"/>
          <w:b/>
          <w:sz w:val="24"/>
          <w:szCs w:val="24"/>
        </w:rPr>
        <w:t>.</w:t>
      </w:r>
      <w:r w:rsidRPr="0042564C">
        <w:rPr>
          <w:rFonts w:ascii="Times New Roman" w:hAnsi="Times New Roman" w:cs="Times New Roman"/>
          <w:b/>
          <w:sz w:val="24"/>
          <w:szCs w:val="24"/>
        </w:rPr>
        <w:t xml:space="preserve"> Οι επιχειρήσεις που </w:t>
      </w:r>
      <w:r w:rsidR="00A90087" w:rsidRPr="0042564C">
        <w:rPr>
          <w:rFonts w:ascii="Times New Roman" w:hAnsi="Times New Roman" w:cs="Times New Roman"/>
          <w:b/>
          <w:sz w:val="24"/>
          <w:szCs w:val="24"/>
        </w:rPr>
        <w:t>δημιουργήθηκαν</w:t>
      </w:r>
      <w:r w:rsidRPr="0042564C">
        <w:rPr>
          <w:rFonts w:ascii="Times New Roman" w:hAnsi="Times New Roman" w:cs="Times New Roman"/>
          <w:b/>
          <w:sz w:val="24"/>
          <w:szCs w:val="24"/>
        </w:rPr>
        <w:t xml:space="preserve"> μέσα στην κρίση </w:t>
      </w:r>
      <w:r w:rsidR="00A90087" w:rsidRPr="0042564C">
        <w:rPr>
          <w:rFonts w:ascii="Times New Roman" w:hAnsi="Times New Roman" w:cs="Times New Roman"/>
          <w:b/>
          <w:sz w:val="24"/>
          <w:szCs w:val="24"/>
        </w:rPr>
        <w:t>αλλά</w:t>
      </w:r>
      <w:r w:rsidRPr="0042564C">
        <w:rPr>
          <w:rFonts w:ascii="Times New Roman" w:hAnsi="Times New Roman" w:cs="Times New Roman"/>
          <w:b/>
          <w:sz w:val="24"/>
          <w:szCs w:val="24"/>
        </w:rPr>
        <w:t xml:space="preserve"> και οι μεγα</w:t>
      </w:r>
      <w:r w:rsidR="009308BA" w:rsidRPr="0042564C">
        <w:rPr>
          <w:rFonts w:ascii="Times New Roman" w:hAnsi="Times New Roman" w:cs="Times New Roman"/>
          <w:b/>
          <w:sz w:val="24"/>
          <w:szCs w:val="24"/>
        </w:rPr>
        <w:t>λύτερες με βάση τον τζίρο και το</w:t>
      </w:r>
      <w:r w:rsidRPr="0042564C">
        <w:rPr>
          <w:rFonts w:ascii="Times New Roman" w:hAnsi="Times New Roman" w:cs="Times New Roman"/>
          <w:b/>
          <w:sz w:val="24"/>
          <w:szCs w:val="24"/>
        </w:rPr>
        <w:t xml:space="preserve">ν αριθμό εργαζομένων παρουσιάζουν </w:t>
      </w:r>
      <w:r w:rsidR="00A90087" w:rsidRPr="0042564C">
        <w:rPr>
          <w:rFonts w:ascii="Times New Roman" w:hAnsi="Times New Roman" w:cs="Times New Roman"/>
          <w:b/>
          <w:sz w:val="24"/>
          <w:szCs w:val="24"/>
        </w:rPr>
        <w:t>καλύτερες</w:t>
      </w:r>
      <w:r w:rsidRPr="0042564C">
        <w:rPr>
          <w:rFonts w:ascii="Times New Roman" w:hAnsi="Times New Roman" w:cs="Times New Roman"/>
          <w:b/>
          <w:sz w:val="24"/>
          <w:szCs w:val="24"/>
        </w:rPr>
        <w:t xml:space="preserve"> επιδόσεις σε </w:t>
      </w:r>
      <w:r w:rsidR="00A90087" w:rsidRPr="0042564C">
        <w:rPr>
          <w:rFonts w:ascii="Times New Roman" w:hAnsi="Times New Roman" w:cs="Times New Roman"/>
          <w:b/>
          <w:sz w:val="24"/>
          <w:szCs w:val="24"/>
        </w:rPr>
        <w:t>σύγκριση</w:t>
      </w:r>
      <w:r w:rsidRPr="0042564C">
        <w:rPr>
          <w:rFonts w:ascii="Times New Roman" w:hAnsi="Times New Roman" w:cs="Times New Roman"/>
          <w:b/>
          <w:sz w:val="24"/>
          <w:szCs w:val="24"/>
        </w:rPr>
        <w:t xml:space="preserve"> με τις </w:t>
      </w:r>
      <w:r w:rsidR="00A90087" w:rsidRPr="0042564C">
        <w:rPr>
          <w:rFonts w:ascii="Times New Roman" w:hAnsi="Times New Roman" w:cs="Times New Roman"/>
          <w:b/>
          <w:sz w:val="24"/>
          <w:szCs w:val="24"/>
        </w:rPr>
        <w:t>παλαιότερε</w:t>
      </w:r>
      <w:r w:rsidR="009308BA" w:rsidRPr="0042564C">
        <w:rPr>
          <w:rFonts w:ascii="Times New Roman" w:hAnsi="Times New Roman" w:cs="Times New Roman"/>
          <w:b/>
          <w:sz w:val="24"/>
          <w:szCs w:val="24"/>
        </w:rPr>
        <w:t xml:space="preserve">ς επιχειρήσεις, τις επιχειρήσεις με τζίρο έως 50.000 € </w:t>
      </w:r>
      <w:r w:rsidR="00A90087" w:rsidRPr="0042564C">
        <w:rPr>
          <w:rFonts w:ascii="Times New Roman" w:hAnsi="Times New Roman" w:cs="Times New Roman"/>
          <w:b/>
          <w:sz w:val="24"/>
          <w:szCs w:val="24"/>
        </w:rPr>
        <w:t xml:space="preserve">και </w:t>
      </w:r>
      <w:r w:rsidR="009308BA" w:rsidRPr="0042564C">
        <w:rPr>
          <w:rFonts w:ascii="Times New Roman" w:hAnsi="Times New Roman" w:cs="Times New Roman"/>
          <w:b/>
          <w:sz w:val="24"/>
          <w:szCs w:val="24"/>
        </w:rPr>
        <w:t>εκείνες</w:t>
      </w:r>
      <w:r w:rsidR="00A90087" w:rsidRPr="0042564C">
        <w:rPr>
          <w:rFonts w:ascii="Times New Roman" w:hAnsi="Times New Roman" w:cs="Times New Roman"/>
          <w:b/>
          <w:sz w:val="24"/>
          <w:szCs w:val="24"/>
        </w:rPr>
        <w:t xml:space="preserve"> χωρίς προσωπικό. </w:t>
      </w:r>
    </w:p>
    <w:p w:rsidR="00255CE9" w:rsidRPr="0042564C" w:rsidRDefault="00255CE9" w:rsidP="0042564C">
      <w:pPr>
        <w:pStyle w:val="a5"/>
        <w:numPr>
          <w:ilvl w:val="0"/>
          <w:numId w:val="1"/>
        </w:num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
          <w:sz w:val="24"/>
          <w:szCs w:val="24"/>
        </w:rPr>
      </w:pPr>
      <w:r w:rsidRPr="0042564C">
        <w:rPr>
          <w:rFonts w:ascii="Times New Roman" w:hAnsi="Times New Roman" w:cs="Times New Roman"/>
          <w:b/>
          <w:sz w:val="24"/>
          <w:szCs w:val="24"/>
        </w:rPr>
        <w:t xml:space="preserve">Οι προσδοκίες σχετικά με την πορεία των επιχειρήσεων το επόμενο εξάμηνο </w:t>
      </w:r>
      <w:r w:rsidR="00A90087" w:rsidRPr="0042564C">
        <w:rPr>
          <w:rFonts w:ascii="Times New Roman" w:hAnsi="Times New Roman" w:cs="Times New Roman"/>
          <w:b/>
          <w:sz w:val="24"/>
          <w:szCs w:val="24"/>
        </w:rPr>
        <w:t xml:space="preserve">καταγράφουν ιστορικό υψηλό δεκαετίας. Μάλιστα για πρώτη φορά στις έρευνες κλίματος του ΙΜΕ ΓΣΕΒΕΕ </w:t>
      </w:r>
      <w:r w:rsidR="009308BA" w:rsidRPr="0042564C">
        <w:rPr>
          <w:rFonts w:ascii="Times New Roman" w:hAnsi="Times New Roman" w:cs="Times New Roman"/>
          <w:b/>
          <w:sz w:val="24"/>
          <w:szCs w:val="24"/>
        </w:rPr>
        <w:t xml:space="preserve">οι δείκτες βελτίωσης </w:t>
      </w:r>
      <w:r w:rsidR="00A90087" w:rsidRPr="0042564C">
        <w:rPr>
          <w:rFonts w:ascii="Times New Roman" w:hAnsi="Times New Roman" w:cs="Times New Roman"/>
          <w:b/>
          <w:sz w:val="24"/>
          <w:szCs w:val="24"/>
        </w:rPr>
        <w:t xml:space="preserve">τόσο για </w:t>
      </w:r>
      <w:r w:rsidR="009F5721" w:rsidRPr="0042564C">
        <w:rPr>
          <w:rFonts w:ascii="Times New Roman" w:hAnsi="Times New Roman" w:cs="Times New Roman"/>
          <w:b/>
          <w:sz w:val="24"/>
          <w:szCs w:val="24"/>
        </w:rPr>
        <w:t>την</w:t>
      </w:r>
      <w:r w:rsidR="009308BA" w:rsidRPr="0042564C">
        <w:rPr>
          <w:rFonts w:ascii="Times New Roman" w:hAnsi="Times New Roman" w:cs="Times New Roman"/>
          <w:b/>
          <w:sz w:val="24"/>
          <w:szCs w:val="24"/>
        </w:rPr>
        <w:t xml:space="preserve"> γενική</w:t>
      </w:r>
      <w:r w:rsidR="009F5721" w:rsidRPr="0042564C">
        <w:rPr>
          <w:rFonts w:ascii="Times New Roman" w:hAnsi="Times New Roman" w:cs="Times New Roman"/>
          <w:b/>
          <w:sz w:val="24"/>
          <w:szCs w:val="24"/>
        </w:rPr>
        <w:t xml:space="preserve"> οικονομική κατάσταση το</w:t>
      </w:r>
      <w:r w:rsidR="009308BA" w:rsidRPr="0042564C">
        <w:rPr>
          <w:rFonts w:ascii="Times New Roman" w:hAnsi="Times New Roman" w:cs="Times New Roman"/>
          <w:b/>
          <w:sz w:val="24"/>
          <w:szCs w:val="24"/>
        </w:rPr>
        <w:t>υ</w:t>
      </w:r>
      <w:r w:rsidR="009F5721" w:rsidRPr="0042564C">
        <w:rPr>
          <w:rFonts w:ascii="Times New Roman" w:hAnsi="Times New Roman" w:cs="Times New Roman"/>
          <w:b/>
          <w:sz w:val="24"/>
          <w:szCs w:val="24"/>
        </w:rPr>
        <w:t xml:space="preserve"> επόμενο</w:t>
      </w:r>
      <w:r w:rsidR="009308BA" w:rsidRPr="0042564C">
        <w:rPr>
          <w:rFonts w:ascii="Times New Roman" w:hAnsi="Times New Roman" w:cs="Times New Roman"/>
          <w:b/>
          <w:sz w:val="24"/>
          <w:szCs w:val="24"/>
        </w:rPr>
        <w:t>υ εξαμή</w:t>
      </w:r>
      <w:r w:rsidR="009F5721" w:rsidRPr="0042564C">
        <w:rPr>
          <w:rFonts w:ascii="Times New Roman" w:hAnsi="Times New Roman" w:cs="Times New Roman"/>
          <w:b/>
          <w:sz w:val="24"/>
          <w:szCs w:val="24"/>
        </w:rPr>
        <w:t>νο</w:t>
      </w:r>
      <w:r w:rsidR="009308BA" w:rsidRPr="0042564C">
        <w:rPr>
          <w:rFonts w:ascii="Times New Roman" w:hAnsi="Times New Roman" w:cs="Times New Roman"/>
          <w:b/>
          <w:sz w:val="24"/>
          <w:szCs w:val="24"/>
        </w:rPr>
        <w:t>υ,</w:t>
      </w:r>
      <w:r w:rsidR="009F5721" w:rsidRPr="0042564C">
        <w:rPr>
          <w:rFonts w:ascii="Times New Roman" w:hAnsi="Times New Roman" w:cs="Times New Roman"/>
          <w:b/>
          <w:sz w:val="24"/>
          <w:szCs w:val="24"/>
        </w:rPr>
        <w:t xml:space="preserve"> όσο και </w:t>
      </w:r>
      <w:r w:rsidR="009308BA" w:rsidRPr="0042564C">
        <w:rPr>
          <w:rFonts w:ascii="Times New Roman" w:hAnsi="Times New Roman" w:cs="Times New Roman"/>
          <w:b/>
          <w:sz w:val="24"/>
          <w:szCs w:val="24"/>
        </w:rPr>
        <w:t>οι επιμέρους</w:t>
      </w:r>
      <w:r w:rsidR="00AE1D0A" w:rsidRPr="0042564C">
        <w:rPr>
          <w:rFonts w:ascii="Times New Roman" w:hAnsi="Times New Roman" w:cs="Times New Roman"/>
          <w:b/>
          <w:sz w:val="24"/>
          <w:szCs w:val="24"/>
        </w:rPr>
        <w:t xml:space="preserve"> του </w:t>
      </w:r>
      <w:r w:rsidR="009F5721" w:rsidRPr="0042564C">
        <w:rPr>
          <w:rFonts w:ascii="Times New Roman" w:hAnsi="Times New Roman" w:cs="Times New Roman"/>
          <w:b/>
          <w:sz w:val="24"/>
          <w:szCs w:val="24"/>
        </w:rPr>
        <w:t>κύκλου εργ</w:t>
      </w:r>
      <w:r w:rsidR="00AE1D0A" w:rsidRPr="0042564C">
        <w:rPr>
          <w:rFonts w:ascii="Times New Roman" w:hAnsi="Times New Roman" w:cs="Times New Roman"/>
          <w:b/>
          <w:sz w:val="24"/>
          <w:szCs w:val="24"/>
        </w:rPr>
        <w:t xml:space="preserve">ασιών, της ζήτησης, της ρευστότητας, των </w:t>
      </w:r>
      <w:r w:rsidR="009F5721" w:rsidRPr="0042564C">
        <w:rPr>
          <w:rFonts w:ascii="Times New Roman" w:hAnsi="Times New Roman" w:cs="Times New Roman"/>
          <w:b/>
          <w:sz w:val="24"/>
          <w:szCs w:val="24"/>
        </w:rPr>
        <w:t>παραγγελιών</w:t>
      </w:r>
      <w:r w:rsidR="00AE1D0A" w:rsidRPr="0042564C">
        <w:rPr>
          <w:rFonts w:ascii="Times New Roman" w:hAnsi="Times New Roman" w:cs="Times New Roman"/>
          <w:b/>
          <w:sz w:val="24"/>
          <w:szCs w:val="24"/>
        </w:rPr>
        <w:t xml:space="preserve"> και της απασχόλησης</w:t>
      </w:r>
      <w:r w:rsidR="009F5721" w:rsidRPr="0042564C">
        <w:rPr>
          <w:rFonts w:ascii="Times New Roman" w:hAnsi="Times New Roman" w:cs="Times New Roman"/>
          <w:b/>
          <w:sz w:val="24"/>
          <w:szCs w:val="24"/>
        </w:rPr>
        <w:t xml:space="preserve"> υπερτερούν των δεικτών επιδείνωσης.</w:t>
      </w:r>
      <w:r w:rsidR="00A90087" w:rsidRPr="0042564C">
        <w:rPr>
          <w:rFonts w:ascii="Times New Roman" w:hAnsi="Times New Roman" w:cs="Times New Roman"/>
          <w:b/>
          <w:sz w:val="24"/>
          <w:szCs w:val="24"/>
        </w:rPr>
        <w:t xml:space="preserve">  </w:t>
      </w:r>
      <w:r w:rsidR="00EB1FA3" w:rsidRPr="0042564C">
        <w:rPr>
          <w:rFonts w:ascii="Times New Roman" w:hAnsi="Times New Roman" w:cs="Times New Roman"/>
          <w:b/>
          <w:sz w:val="24"/>
          <w:szCs w:val="24"/>
        </w:rPr>
        <w:t>Συγκεκριμένα τ</w:t>
      </w:r>
      <w:r w:rsidRPr="0042564C">
        <w:rPr>
          <w:rFonts w:ascii="Times New Roman" w:hAnsi="Times New Roman" w:cs="Times New Roman"/>
          <w:b/>
          <w:sz w:val="24"/>
          <w:szCs w:val="24"/>
        </w:rPr>
        <w:t xml:space="preserve">ο </w:t>
      </w:r>
      <w:r w:rsidR="009F5721" w:rsidRPr="0042564C">
        <w:rPr>
          <w:rFonts w:ascii="Times New Roman" w:hAnsi="Times New Roman" w:cs="Times New Roman"/>
          <w:b/>
          <w:sz w:val="24"/>
          <w:szCs w:val="24"/>
        </w:rPr>
        <w:t>31</w:t>
      </w:r>
      <w:r w:rsidRPr="0042564C">
        <w:rPr>
          <w:rFonts w:ascii="Times New Roman" w:hAnsi="Times New Roman" w:cs="Times New Roman"/>
          <w:b/>
          <w:sz w:val="24"/>
          <w:szCs w:val="24"/>
        </w:rPr>
        <w:t xml:space="preserve">% των επιχειρήσεων αναμένει </w:t>
      </w:r>
      <w:r w:rsidR="009F5721" w:rsidRPr="0042564C">
        <w:rPr>
          <w:rFonts w:ascii="Times New Roman" w:hAnsi="Times New Roman" w:cs="Times New Roman"/>
          <w:b/>
          <w:sz w:val="24"/>
          <w:szCs w:val="24"/>
        </w:rPr>
        <w:t>βελτίωση (</w:t>
      </w:r>
      <w:r w:rsidRPr="0042564C">
        <w:rPr>
          <w:rFonts w:ascii="Times New Roman" w:hAnsi="Times New Roman" w:cs="Times New Roman"/>
          <w:b/>
          <w:sz w:val="24"/>
          <w:szCs w:val="24"/>
        </w:rPr>
        <w:t xml:space="preserve">έναντι </w:t>
      </w:r>
      <w:r w:rsidR="009F5721" w:rsidRPr="0042564C">
        <w:rPr>
          <w:rFonts w:ascii="Times New Roman" w:hAnsi="Times New Roman" w:cs="Times New Roman"/>
          <w:b/>
          <w:sz w:val="24"/>
          <w:szCs w:val="24"/>
        </w:rPr>
        <w:t>26,4% τον Ιανουάριο</w:t>
      </w:r>
      <w:r w:rsidRPr="0042564C">
        <w:rPr>
          <w:rFonts w:ascii="Times New Roman" w:hAnsi="Times New Roman" w:cs="Times New Roman"/>
          <w:b/>
          <w:sz w:val="24"/>
          <w:szCs w:val="24"/>
        </w:rPr>
        <w:t xml:space="preserve"> 201</w:t>
      </w:r>
      <w:r w:rsidR="009F5721" w:rsidRPr="0042564C">
        <w:rPr>
          <w:rFonts w:ascii="Times New Roman" w:hAnsi="Times New Roman" w:cs="Times New Roman"/>
          <w:b/>
          <w:sz w:val="24"/>
          <w:szCs w:val="24"/>
        </w:rPr>
        <w:t>9 και 17,5% τον Ιούλιο 2018</w:t>
      </w:r>
      <w:r w:rsidRPr="0042564C">
        <w:rPr>
          <w:rFonts w:ascii="Times New Roman" w:hAnsi="Times New Roman" w:cs="Times New Roman"/>
          <w:b/>
          <w:sz w:val="24"/>
          <w:szCs w:val="24"/>
        </w:rPr>
        <w:t xml:space="preserve">), το </w:t>
      </w:r>
      <w:r w:rsidR="009F5721" w:rsidRPr="0042564C">
        <w:rPr>
          <w:rFonts w:ascii="Times New Roman" w:hAnsi="Times New Roman" w:cs="Times New Roman"/>
          <w:b/>
          <w:sz w:val="24"/>
          <w:szCs w:val="24"/>
        </w:rPr>
        <w:t>38,5</w:t>
      </w:r>
      <w:r w:rsidRPr="0042564C">
        <w:rPr>
          <w:rFonts w:ascii="Times New Roman" w:hAnsi="Times New Roman" w:cs="Times New Roman"/>
          <w:b/>
          <w:sz w:val="24"/>
          <w:szCs w:val="24"/>
        </w:rPr>
        <w:t xml:space="preserve">% </w:t>
      </w:r>
      <w:r w:rsidR="009F5721" w:rsidRPr="0042564C">
        <w:rPr>
          <w:rFonts w:ascii="Times New Roman" w:hAnsi="Times New Roman" w:cs="Times New Roman"/>
          <w:b/>
          <w:sz w:val="24"/>
          <w:szCs w:val="24"/>
        </w:rPr>
        <w:t>καμία μεταβολή</w:t>
      </w:r>
      <w:r w:rsidRPr="0042564C">
        <w:rPr>
          <w:rFonts w:ascii="Times New Roman" w:hAnsi="Times New Roman" w:cs="Times New Roman"/>
          <w:b/>
          <w:sz w:val="24"/>
          <w:szCs w:val="24"/>
        </w:rPr>
        <w:t xml:space="preserve"> (έναντι </w:t>
      </w:r>
      <w:r w:rsidR="009F5721" w:rsidRPr="0042564C">
        <w:rPr>
          <w:rFonts w:ascii="Times New Roman" w:hAnsi="Times New Roman" w:cs="Times New Roman"/>
          <w:b/>
          <w:sz w:val="24"/>
          <w:szCs w:val="24"/>
        </w:rPr>
        <w:t>38,2% τον Ιανουάριο 2019 και 36,8% τον Ιούλιο 2018</w:t>
      </w:r>
      <w:r w:rsidRPr="0042564C">
        <w:rPr>
          <w:rFonts w:ascii="Times New Roman" w:hAnsi="Times New Roman" w:cs="Times New Roman"/>
          <w:b/>
          <w:sz w:val="24"/>
          <w:szCs w:val="24"/>
        </w:rPr>
        <w:t xml:space="preserve">), ενώ </w:t>
      </w:r>
      <w:r w:rsidR="009F5721" w:rsidRPr="0042564C">
        <w:rPr>
          <w:rFonts w:ascii="Times New Roman" w:hAnsi="Times New Roman" w:cs="Times New Roman"/>
          <w:b/>
          <w:sz w:val="24"/>
          <w:szCs w:val="24"/>
        </w:rPr>
        <w:t xml:space="preserve">μόλις το 16,6% </w:t>
      </w:r>
      <w:r w:rsidRPr="0042564C">
        <w:rPr>
          <w:rFonts w:ascii="Times New Roman" w:hAnsi="Times New Roman" w:cs="Times New Roman"/>
          <w:b/>
          <w:sz w:val="24"/>
          <w:szCs w:val="24"/>
        </w:rPr>
        <w:t xml:space="preserve">των επιχειρήσεων αναμένει </w:t>
      </w:r>
      <w:r w:rsidR="009F5721" w:rsidRPr="0042564C">
        <w:rPr>
          <w:rFonts w:ascii="Times New Roman" w:hAnsi="Times New Roman" w:cs="Times New Roman"/>
          <w:b/>
          <w:sz w:val="24"/>
          <w:szCs w:val="24"/>
        </w:rPr>
        <w:t>επιδείνωση (έναντι 29,3% τον Ιανουάριο του 2019 και 37,6% τον Ιούλιο του 2018)</w:t>
      </w:r>
      <w:r w:rsidRPr="0042564C">
        <w:rPr>
          <w:rFonts w:ascii="Times New Roman" w:hAnsi="Times New Roman" w:cs="Times New Roman"/>
          <w:b/>
          <w:sz w:val="24"/>
          <w:szCs w:val="24"/>
        </w:rPr>
        <w:t xml:space="preserve">. </w:t>
      </w:r>
      <w:r w:rsidR="009F5721" w:rsidRPr="0042564C">
        <w:rPr>
          <w:rFonts w:ascii="Times New Roman" w:hAnsi="Times New Roman" w:cs="Times New Roman"/>
          <w:b/>
          <w:sz w:val="24"/>
          <w:szCs w:val="24"/>
        </w:rPr>
        <w:t>Περισσότερο απαισιόδοξες είναι οι μικρότερες μ</w:t>
      </w:r>
      <w:r w:rsidR="00AE1D0A" w:rsidRPr="0042564C">
        <w:rPr>
          <w:rFonts w:ascii="Times New Roman" w:hAnsi="Times New Roman" w:cs="Times New Roman"/>
          <w:b/>
          <w:sz w:val="24"/>
          <w:szCs w:val="24"/>
        </w:rPr>
        <w:t>ε βάση τον κύκλο εργασιών και το</w:t>
      </w:r>
      <w:r w:rsidR="009F5721" w:rsidRPr="0042564C">
        <w:rPr>
          <w:rFonts w:ascii="Times New Roman" w:hAnsi="Times New Roman" w:cs="Times New Roman"/>
          <w:b/>
          <w:sz w:val="24"/>
          <w:szCs w:val="24"/>
        </w:rPr>
        <w:t xml:space="preserve">ν αριθμό εργαζομένων επιχειρήσεις. </w:t>
      </w:r>
    </w:p>
    <w:p w:rsidR="0042564C" w:rsidRDefault="0042564C" w:rsidP="0042564C">
      <w:pPr>
        <w:spacing w:after="0" w:line="360" w:lineRule="auto"/>
        <w:rPr>
          <w:rFonts w:ascii="Times New Roman" w:hAnsi="Times New Roman" w:cs="Times New Roman"/>
          <w:b/>
          <w:sz w:val="24"/>
          <w:szCs w:val="24"/>
        </w:rPr>
      </w:pPr>
    </w:p>
    <w:p w:rsidR="00255CE9" w:rsidRPr="0042564C" w:rsidRDefault="00255CE9" w:rsidP="0042564C">
      <w:pPr>
        <w:spacing w:after="0" w:line="360" w:lineRule="auto"/>
        <w:rPr>
          <w:rFonts w:ascii="Times New Roman" w:hAnsi="Times New Roman" w:cs="Times New Roman"/>
          <w:b/>
          <w:sz w:val="24"/>
          <w:szCs w:val="24"/>
        </w:rPr>
      </w:pPr>
      <w:r w:rsidRPr="0042564C">
        <w:rPr>
          <w:rFonts w:ascii="Times New Roman" w:hAnsi="Times New Roman" w:cs="Times New Roman"/>
          <w:b/>
          <w:sz w:val="24"/>
          <w:szCs w:val="24"/>
        </w:rPr>
        <w:t>Β. ΕΠΙΧΕΙΡΗΜΑΤΙΚΗ ΚΑΤΑΣΤΑΣΗ ΕΠΙΧΕΙΡΗΣΕΩΝ – ΕΠΙ ΜΕΡΟΥΣ ΔΕΙΚΤΕΣ</w:t>
      </w:r>
    </w:p>
    <w:p w:rsidR="00255CE9" w:rsidRPr="0042564C" w:rsidRDefault="00255CE9" w:rsidP="0042564C">
      <w:pPr>
        <w:spacing w:after="0" w:line="360" w:lineRule="auto"/>
        <w:rPr>
          <w:rFonts w:ascii="Times New Roman" w:hAnsi="Times New Roman" w:cs="Times New Roman"/>
          <w:b/>
          <w:sz w:val="24"/>
          <w:szCs w:val="24"/>
        </w:rPr>
      </w:pPr>
      <w:r w:rsidRPr="0042564C">
        <w:rPr>
          <w:rFonts w:ascii="Times New Roman" w:hAnsi="Times New Roman" w:cs="Times New Roman"/>
          <w:b/>
          <w:sz w:val="24"/>
          <w:szCs w:val="24"/>
        </w:rPr>
        <w:t>Β.1 ΚΥΚΛΟΣ Ε</w:t>
      </w:r>
      <w:r w:rsidR="00FC575D" w:rsidRPr="0042564C">
        <w:rPr>
          <w:rFonts w:ascii="Times New Roman" w:hAnsi="Times New Roman" w:cs="Times New Roman"/>
          <w:b/>
          <w:sz w:val="24"/>
          <w:szCs w:val="24"/>
        </w:rPr>
        <w:t xml:space="preserve">ΡΓΑΣΙΩΝ – ΖΗΤΗΣΗ - ΠΑΡΑΓΓΕΛΙΕΣ </w:t>
      </w:r>
    </w:p>
    <w:p w:rsidR="00FC575D" w:rsidRPr="0042564C" w:rsidRDefault="00255CE9" w:rsidP="0042564C">
      <w:pPr>
        <w:pStyle w:val="a5"/>
        <w:numPr>
          <w:ilvl w:val="0"/>
          <w:numId w:val="2"/>
        </w:num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
          <w:sz w:val="24"/>
          <w:szCs w:val="24"/>
        </w:rPr>
      </w:pPr>
      <w:r w:rsidRPr="0042564C">
        <w:rPr>
          <w:rFonts w:ascii="Times New Roman" w:hAnsi="Times New Roman" w:cs="Times New Roman"/>
          <w:b/>
          <w:sz w:val="24"/>
          <w:szCs w:val="24"/>
        </w:rPr>
        <w:t xml:space="preserve">Ο δείκτης κύκλου εργασιών των πολύ μικρών και μικρών επιχειρήσεων </w:t>
      </w:r>
      <w:r w:rsidR="00447760" w:rsidRPr="0042564C">
        <w:rPr>
          <w:rFonts w:ascii="Times New Roman" w:hAnsi="Times New Roman" w:cs="Times New Roman"/>
          <w:b/>
          <w:sz w:val="24"/>
          <w:szCs w:val="24"/>
        </w:rPr>
        <w:t>μετά την σημ</w:t>
      </w:r>
      <w:r w:rsidR="00221694">
        <w:rPr>
          <w:rFonts w:ascii="Times New Roman" w:hAnsi="Times New Roman" w:cs="Times New Roman"/>
          <w:b/>
          <w:sz w:val="24"/>
          <w:szCs w:val="24"/>
        </w:rPr>
        <w:t>αντική αύξηση που κατέγραψε το Β</w:t>
      </w:r>
      <w:r w:rsidR="00447760" w:rsidRPr="0042564C">
        <w:rPr>
          <w:rFonts w:ascii="Times New Roman" w:hAnsi="Times New Roman" w:cs="Times New Roman"/>
          <w:b/>
          <w:sz w:val="24"/>
          <w:szCs w:val="24"/>
        </w:rPr>
        <w:t xml:space="preserve"> εξάμηνο του 2018 παρουσιάζει</w:t>
      </w:r>
      <w:r w:rsidR="00FC575D" w:rsidRPr="0042564C">
        <w:rPr>
          <w:rFonts w:ascii="Times New Roman" w:hAnsi="Times New Roman" w:cs="Times New Roman"/>
          <w:b/>
          <w:sz w:val="24"/>
          <w:szCs w:val="24"/>
        </w:rPr>
        <w:t xml:space="preserve"> επιβράδυνση. </w:t>
      </w:r>
      <w:r w:rsidR="00447760" w:rsidRPr="0042564C">
        <w:rPr>
          <w:rFonts w:ascii="Times New Roman" w:hAnsi="Times New Roman" w:cs="Times New Roman"/>
          <w:b/>
          <w:sz w:val="24"/>
          <w:szCs w:val="24"/>
        </w:rPr>
        <w:t>Διαμορφώνεται στις 58,4 μονάδες έναντι 62,3 τον Ιανουάριο του 2019 και 51,8 τον Ιούλιο του 2018.</w:t>
      </w:r>
      <w:r w:rsidR="0051319E" w:rsidRPr="0042564C">
        <w:rPr>
          <w:rFonts w:ascii="Times New Roman" w:hAnsi="Times New Roman" w:cs="Times New Roman"/>
          <w:b/>
          <w:sz w:val="24"/>
          <w:szCs w:val="24"/>
        </w:rPr>
        <w:t xml:space="preserve"> Η επιβράδυνση που καταγράφεται στην έρευνα του ΙΜΕ ΓΣΕΒΕΕ συμβαδίζει με τα στοιχεία που έχουν δημοσιευτεί από την ΕΛΣΤΑΤ σχετ</w:t>
      </w:r>
      <w:r w:rsidR="00EB1FA3" w:rsidRPr="0042564C">
        <w:rPr>
          <w:rFonts w:ascii="Times New Roman" w:hAnsi="Times New Roman" w:cs="Times New Roman"/>
          <w:b/>
          <w:sz w:val="24"/>
          <w:szCs w:val="24"/>
        </w:rPr>
        <w:t>ικά με τον κύκλο εργασιών στην β</w:t>
      </w:r>
      <w:r w:rsidR="0051319E" w:rsidRPr="0042564C">
        <w:rPr>
          <w:rFonts w:ascii="Times New Roman" w:hAnsi="Times New Roman" w:cs="Times New Roman"/>
          <w:b/>
          <w:sz w:val="24"/>
          <w:szCs w:val="24"/>
        </w:rPr>
        <w:t>ιομηχανία, στο λιανικό και χονδρικό εμπόριο</w:t>
      </w:r>
      <w:r w:rsidR="00E33D65" w:rsidRPr="0042564C">
        <w:rPr>
          <w:rFonts w:ascii="Times New Roman" w:hAnsi="Times New Roman" w:cs="Times New Roman"/>
          <w:b/>
          <w:sz w:val="24"/>
          <w:szCs w:val="24"/>
        </w:rPr>
        <w:t xml:space="preserve"> και στον</w:t>
      </w:r>
      <w:r w:rsidR="0051319E" w:rsidRPr="0042564C">
        <w:rPr>
          <w:rFonts w:ascii="Times New Roman" w:hAnsi="Times New Roman" w:cs="Times New Roman"/>
          <w:b/>
          <w:sz w:val="24"/>
          <w:szCs w:val="24"/>
        </w:rPr>
        <w:t xml:space="preserve"> τομέα της παροχής υπηρεσιών καταλύματος και εστίασης όπου καταγράφεται πτώση των κύκλων εργασιών στους παραπάνω κλάδους</w:t>
      </w:r>
      <w:r w:rsidR="00EB1FA3" w:rsidRPr="0042564C">
        <w:rPr>
          <w:rFonts w:ascii="Times New Roman" w:hAnsi="Times New Roman" w:cs="Times New Roman"/>
          <w:b/>
          <w:sz w:val="24"/>
          <w:szCs w:val="24"/>
        </w:rPr>
        <w:t>.</w:t>
      </w:r>
      <w:r w:rsidR="0051319E" w:rsidRPr="0042564C">
        <w:rPr>
          <w:rFonts w:ascii="Times New Roman" w:hAnsi="Times New Roman" w:cs="Times New Roman"/>
          <w:b/>
          <w:sz w:val="24"/>
          <w:szCs w:val="24"/>
        </w:rPr>
        <w:t xml:space="preserve"> </w:t>
      </w:r>
      <w:r w:rsidR="00E33D65" w:rsidRPr="0042564C">
        <w:rPr>
          <w:rFonts w:ascii="Times New Roman" w:hAnsi="Times New Roman" w:cs="Times New Roman"/>
          <w:b/>
          <w:sz w:val="24"/>
          <w:szCs w:val="24"/>
        </w:rPr>
        <w:t>Επιπλέον για το 1</w:t>
      </w:r>
      <w:r w:rsidR="00E33D65" w:rsidRPr="0042564C">
        <w:rPr>
          <w:rFonts w:ascii="Times New Roman" w:hAnsi="Times New Roman" w:cs="Times New Roman"/>
          <w:b/>
          <w:sz w:val="24"/>
          <w:szCs w:val="24"/>
          <w:vertAlign w:val="superscript"/>
        </w:rPr>
        <w:t>ο</w:t>
      </w:r>
      <w:r w:rsidR="00E33D65" w:rsidRPr="0042564C">
        <w:rPr>
          <w:rFonts w:ascii="Times New Roman" w:hAnsi="Times New Roman" w:cs="Times New Roman"/>
          <w:b/>
          <w:sz w:val="24"/>
          <w:szCs w:val="24"/>
        </w:rPr>
        <w:t xml:space="preserve"> τρίμηνο του 2019 το ΑΕΠ</w:t>
      </w:r>
      <w:r w:rsidR="00C35AA2" w:rsidRPr="0042564C">
        <w:rPr>
          <w:rStyle w:val="a8"/>
          <w:rFonts w:ascii="Times New Roman" w:hAnsi="Times New Roman" w:cs="Times New Roman"/>
          <w:b/>
          <w:sz w:val="24"/>
          <w:szCs w:val="24"/>
        </w:rPr>
        <w:footnoteReference w:id="1"/>
      </w:r>
      <w:r w:rsidR="00E33D65" w:rsidRPr="0042564C">
        <w:rPr>
          <w:rFonts w:ascii="Times New Roman" w:hAnsi="Times New Roman" w:cs="Times New Roman"/>
          <w:b/>
          <w:sz w:val="24"/>
          <w:szCs w:val="24"/>
        </w:rPr>
        <w:t xml:space="preserve"> αν και παρουσιάζει αύξηση της τάξης του 0,2</w:t>
      </w:r>
      <w:r w:rsidR="001056DB">
        <w:rPr>
          <w:rFonts w:ascii="Times New Roman" w:hAnsi="Times New Roman" w:cs="Times New Roman"/>
          <w:b/>
          <w:sz w:val="24"/>
          <w:szCs w:val="24"/>
        </w:rPr>
        <w:t>%</w:t>
      </w:r>
      <w:r w:rsidR="00E33D65" w:rsidRPr="0042564C">
        <w:rPr>
          <w:rFonts w:ascii="Times New Roman" w:hAnsi="Times New Roman" w:cs="Times New Roman"/>
          <w:b/>
          <w:sz w:val="24"/>
          <w:szCs w:val="24"/>
        </w:rPr>
        <w:t xml:space="preserve"> σε σχέση με το προηγούμενο τρίμηνο και 1,3% σε σχέση με το προηγούμενο έτος</w:t>
      </w:r>
      <w:r w:rsidR="00221694">
        <w:rPr>
          <w:rFonts w:ascii="Times New Roman" w:hAnsi="Times New Roman" w:cs="Times New Roman"/>
          <w:b/>
          <w:sz w:val="24"/>
          <w:szCs w:val="24"/>
        </w:rPr>
        <w:t>,</w:t>
      </w:r>
      <w:r w:rsidR="00E33D65" w:rsidRPr="0042564C">
        <w:rPr>
          <w:rFonts w:ascii="Times New Roman" w:hAnsi="Times New Roman" w:cs="Times New Roman"/>
          <w:b/>
          <w:sz w:val="24"/>
          <w:szCs w:val="24"/>
        </w:rPr>
        <w:t xml:space="preserve"> υπολείπεται των αντίστοιχων </w:t>
      </w:r>
      <w:r w:rsidR="00E33D65" w:rsidRPr="0042564C">
        <w:rPr>
          <w:rFonts w:ascii="Times New Roman" w:hAnsi="Times New Roman" w:cs="Times New Roman"/>
          <w:b/>
          <w:sz w:val="24"/>
          <w:szCs w:val="24"/>
        </w:rPr>
        <w:lastRenderedPageBreak/>
        <w:t xml:space="preserve">αυξήσεων του 2018 σε σύγκριση με το 2017 (0,5% και 2,6% αντίστοιχα). Επίσης η καταναλωτική δαπάνη που θα μπορούσε να </w:t>
      </w:r>
      <w:r w:rsidR="006954A4" w:rsidRPr="0042564C">
        <w:rPr>
          <w:rFonts w:ascii="Times New Roman" w:hAnsi="Times New Roman" w:cs="Times New Roman"/>
          <w:b/>
          <w:sz w:val="24"/>
          <w:szCs w:val="24"/>
        </w:rPr>
        <w:t>τροφοδοτήσει</w:t>
      </w:r>
      <w:r w:rsidR="00E33D65" w:rsidRPr="0042564C">
        <w:rPr>
          <w:rFonts w:ascii="Times New Roman" w:hAnsi="Times New Roman" w:cs="Times New Roman"/>
          <w:b/>
          <w:sz w:val="24"/>
          <w:szCs w:val="24"/>
        </w:rPr>
        <w:t xml:space="preserve"> </w:t>
      </w:r>
      <w:r w:rsidR="006954A4" w:rsidRPr="0042564C">
        <w:rPr>
          <w:rFonts w:ascii="Times New Roman" w:hAnsi="Times New Roman" w:cs="Times New Roman"/>
          <w:b/>
          <w:sz w:val="24"/>
          <w:szCs w:val="24"/>
        </w:rPr>
        <w:t>περαιτέρω</w:t>
      </w:r>
      <w:r w:rsidR="00E33D65" w:rsidRPr="0042564C">
        <w:rPr>
          <w:rFonts w:ascii="Times New Roman" w:hAnsi="Times New Roman" w:cs="Times New Roman"/>
          <w:b/>
          <w:sz w:val="24"/>
          <w:szCs w:val="24"/>
        </w:rPr>
        <w:t xml:space="preserve"> την </w:t>
      </w:r>
      <w:r w:rsidR="006954A4" w:rsidRPr="0042564C">
        <w:rPr>
          <w:rFonts w:ascii="Times New Roman" w:hAnsi="Times New Roman" w:cs="Times New Roman"/>
          <w:b/>
          <w:sz w:val="24"/>
          <w:szCs w:val="24"/>
        </w:rPr>
        <w:t>ανάπτυξη</w:t>
      </w:r>
      <w:r w:rsidR="00E33D65" w:rsidRPr="0042564C">
        <w:rPr>
          <w:rFonts w:ascii="Times New Roman" w:hAnsi="Times New Roman" w:cs="Times New Roman"/>
          <w:b/>
          <w:sz w:val="24"/>
          <w:szCs w:val="24"/>
        </w:rPr>
        <w:t xml:space="preserve"> ουσιαστικά δεν μεταβλήθηκε καταγράφοντας το 1</w:t>
      </w:r>
      <w:r w:rsidR="00E33D65" w:rsidRPr="0042564C">
        <w:rPr>
          <w:rFonts w:ascii="Times New Roman" w:hAnsi="Times New Roman" w:cs="Times New Roman"/>
          <w:b/>
          <w:sz w:val="24"/>
          <w:szCs w:val="24"/>
          <w:vertAlign w:val="superscript"/>
        </w:rPr>
        <w:t>ο</w:t>
      </w:r>
      <w:r w:rsidR="00E33D65" w:rsidRPr="0042564C">
        <w:rPr>
          <w:rFonts w:ascii="Times New Roman" w:hAnsi="Times New Roman" w:cs="Times New Roman"/>
          <w:b/>
          <w:sz w:val="24"/>
          <w:szCs w:val="24"/>
        </w:rPr>
        <w:t xml:space="preserve"> τρίμηνο </w:t>
      </w:r>
      <w:r w:rsidR="006954A4" w:rsidRPr="0042564C">
        <w:rPr>
          <w:rFonts w:ascii="Times New Roman" w:hAnsi="Times New Roman" w:cs="Times New Roman"/>
          <w:b/>
          <w:sz w:val="24"/>
          <w:szCs w:val="24"/>
        </w:rPr>
        <w:t>του</w:t>
      </w:r>
      <w:r w:rsidR="00E33D65" w:rsidRPr="0042564C">
        <w:rPr>
          <w:rFonts w:ascii="Times New Roman" w:hAnsi="Times New Roman" w:cs="Times New Roman"/>
          <w:b/>
          <w:sz w:val="24"/>
          <w:szCs w:val="24"/>
        </w:rPr>
        <w:t xml:space="preserve"> 2019 μείωση κατά </w:t>
      </w:r>
      <w:r w:rsidR="00EB1FA3" w:rsidRPr="0042564C">
        <w:rPr>
          <w:rFonts w:ascii="Times New Roman" w:hAnsi="Times New Roman" w:cs="Times New Roman"/>
          <w:b/>
          <w:sz w:val="24"/>
          <w:szCs w:val="24"/>
        </w:rPr>
        <w:t>-</w:t>
      </w:r>
      <w:r w:rsidR="00E33D65" w:rsidRPr="0042564C">
        <w:rPr>
          <w:rFonts w:ascii="Times New Roman" w:hAnsi="Times New Roman" w:cs="Times New Roman"/>
          <w:b/>
          <w:sz w:val="24"/>
          <w:szCs w:val="24"/>
        </w:rPr>
        <w:t xml:space="preserve">0,1% σε σχέση με το </w:t>
      </w:r>
      <w:r w:rsidR="006954A4" w:rsidRPr="0042564C">
        <w:rPr>
          <w:rFonts w:ascii="Times New Roman" w:hAnsi="Times New Roman" w:cs="Times New Roman"/>
          <w:b/>
          <w:sz w:val="24"/>
          <w:szCs w:val="24"/>
        </w:rPr>
        <w:t>προηγούμενο</w:t>
      </w:r>
      <w:r w:rsidR="00E33D65" w:rsidRPr="0042564C">
        <w:rPr>
          <w:rFonts w:ascii="Times New Roman" w:hAnsi="Times New Roman" w:cs="Times New Roman"/>
          <w:b/>
          <w:sz w:val="24"/>
          <w:szCs w:val="24"/>
        </w:rPr>
        <w:t xml:space="preserve"> </w:t>
      </w:r>
      <w:r w:rsidR="006954A4" w:rsidRPr="0042564C">
        <w:rPr>
          <w:rFonts w:ascii="Times New Roman" w:hAnsi="Times New Roman" w:cs="Times New Roman"/>
          <w:b/>
          <w:sz w:val="24"/>
          <w:szCs w:val="24"/>
        </w:rPr>
        <w:t>τρίμηνο</w:t>
      </w:r>
      <w:r w:rsidR="00E33D65" w:rsidRPr="0042564C">
        <w:rPr>
          <w:rFonts w:ascii="Times New Roman" w:hAnsi="Times New Roman" w:cs="Times New Roman"/>
          <w:b/>
          <w:sz w:val="24"/>
          <w:szCs w:val="24"/>
        </w:rPr>
        <w:t xml:space="preserve"> και </w:t>
      </w:r>
      <w:r w:rsidR="006954A4" w:rsidRPr="0042564C">
        <w:rPr>
          <w:rFonts w:ascii="Times New Roman" w:hAnsi="Times New Roman" w:cs="Times New Roman"/>
          <w:b/>
          <w:sz w:val="24"/>
          <w:szCs w:val="24"/>
        </w:rPr>
        <w:t>αύξηση</w:t>
      </w:r>
      <w:r w:rsidR="00E33D65" w:rsidRPr="0042564C">
        <w:rPr>
          <w:rFonts w:ascii="Times New Roman" w:hAnsi="Times New Roman" w:cs="Times New Roman"/>
          <w:b/>
          <w:sz w:val="24"/>
          <w:szCs w:val="24"/>
        </w:rPr>
        <w:t xml:space="preserve"> 0,1% σε σχέση με το </w:t>
      </w:r>
      <w:r w:rsidR="006954A4" w:rsidRPr="0042564C">
        <w:rPr>
          <w:rFonts w:ascii="Times New Roman" w:hAnsi="Times New Roman" w:cs="Times New Roman"/>
          <w:b/>
          <w:sz w:val="24"/>
          <w:szCs w:val="24"/>
        </w:rPr>
        <w:t>αντίστοιχο</w:t>
      </w:r>
      <w:r w:rsidR="00E33D65" w:rsidRPr="0042564C">
        <w:rPr>
          <w:rFonts w:ascii="Times New Roman" w:hAnsi="Times New Roman" w:cs="Times New Roman"/>
          <w:b/>
          <w:sz w:val="24"/>
          <w:szCs w:val="24"/>
        </w:rPr>
        <w:t xml:space="preserve"> τρίμηνο του 2018.</w:t>
      </w:r>
    </w:p>
    <w:p w:rsidR="00255CE9" w:rsidRPr="0042564C" w:rsidRDefault="00447760" w:rsidP="0042564C">
      <w:pPr>
        <w:pStyle w:val="a5"/>
        <w:numPr>
          <w:ilvl w:val="0"/>
          <w:numId w:val="2"/>
        </w:num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
          <w:sz w:val="24"/>
          <w:szCs w:val="24"/>
        </w:rPr>
      </w:pPr>
      <w:r w:rsidRPr="0042564C">
        <w:rPr>
          <w:rFonts w:ascii="Times New Roman" w:hAnsi="Times New Roman" w:cs="Times New Roman"/>
          <w:b/>
          <w:sz w:val="24"/>
          <w:szCs w:val="24"/>
        </w:rPr>
        <w:t>Το 37,3% των επιχειρήσεων δηλώνει ότι ο τζίρος παρέμεινε αμετάβλητος και το 20,2% βελτίωση</w:t>
      </w:r>
      <w:r w:rsidR="00EB1FA3" w:rsidRPr="0042564C">
        <w:rPr>
          <w:rFonts w:ascii="Times New Roman" w:hAnsi="Times New Roman" w:cs="Times New Roman"/>
          <w:b/>
          <w:sz w:val="24"/>
          <w:szCs w:val="24"/>
        </w:rPr>
        <w:t>,</w:t>
      </w:r>
      <w:r w:rsidRPr="0042564C">
        <w:rPr>
          <w:rFonts w:ascii="Times New Roman" w:hAnsi="Times New Roman" w:cs="Times New Roman"/>
          <w:b/>
          <w:sz w:val="24"/>
          <w:szCs w:val="24"/>
        </w:rPr>
        <w:t xml:space="preserve"> έναντι του 40,9% που  δηλώνει επιδείνωση</w:t>
      </w:r>
      <w:r w:rsidR="00255CE9" w:rsidRPr="0042564C">
        <w:rPr>
          <w:rFonts w:ascii="Times New Roman" w:hAnsi="Times New Roman" w:cs="Times New Roman"/>
          <w:b/>
          <w:sz w:val="24"/>
          <w:szCs w:val="24"/>
        </w:rPr>
        <w:t>.</w:t>
      </w:r>
      <w:r w:rsidRPr="0042564C">
        <w:rPr>
          <w:rFonts w:ascii="Times New Roman" w:hAnsi="Times New Roman" w:cs="Times New Roman"/>
          <w:b/>
          <w:sz w:val="24"/>
          <w:szCs w:val="24"/>
        </w:rPr>
        <w:t xml:space="preserve"> Το εμπόριο, οι</w:t>
      </w:r>
      <w:r w:rsidR="00255CE9" w:rsidRPr="0042564C">
        <w:rPr>
          <w:rFonts w:ascii="Times New Roman" w:hAnsi="Times New Roman" w:cs="Times New Roman"/>
          <w:b/>
          <w:sz w:val="24"/>
          <w:szCs w:val="24"/>
        </w:rPr>
        <w:t xml:space="preserve"> </w:t>
      </w:r>
      <w:r w:rsidRPr="0042564C">
        <w:rPr>
          <w:rFonts w:ascii="Times New Roman" w:hAnsi="Times New Roman" w:cs="Times New Roman"/>
          <w:b/>
          <w:sz w:val="24"/>
          <w:szCs w:val="24"/>
        </w:rPr>
        <w:t>επιχειρήσεις χωρίς</w:t>
      </w:r>
      <w:r w:rsidR="00B02CB5" w:rsidRPr="0042564C">
        <w:rPr>
          <w:rFonts w:ascii="Times New Roman" w:hAnsi="Times New Roman" w:cs="Times New Roman"/>
          <w:b/>
          <w:sz w:val="24"/>
          <w:szCs w:val="24"/>
        </w:rPr>
        <w:t xml:space="preserve"> προσωπικό</w:t>
      </w:r>
      <w:r w:rsidRPr="0042564C">
        <w:rPr>
          <w:rFonts w:ascii="Times New Roman" w:hAnsi="Times New Roman" w:cs="Times New Roman"/>
          <w:b/>
          <w:sz w:val="24"/>
          <w:szCs w:val="24"/>
        </w:rPr>
        <w:t xml:space="preserve"> και με τζίρο έως 50.000 € </w:t>
      </w:r>
      <w:r w:rsidR="00255CE9" w:rsidRPr="0042564C">
        <w:rPr>
          <w:rFonts w:ascii="Times New Roman" w:hAnsi="Times New Roman" w:cs="Times New Roman"/>
          <w:b/>
          <w:sz w:val="24"/>
          <w:szCs w:val="24"/>
        </w:rPr>
        <w:t xml:space="preserve"> παρουσιάζουν</w:t>
      </w:r>
      <w:r w:rsidR="00FC299C" w:rsidRPr="0042564C">
        <w:rPr>
          <w:rFonts w:ascii="Times New Roman" w:hAnsi="Times New Roman" w:cs="Times New Roman"/>
          <w:b/>
          <w:sz w:val="24"/>
          <w:szCs w:val="24"/>
        </w:rPr>
        <w:t xml:space="preserve"> τις υψηλότερες απώλειες αφού σχεδόν 1 στις 2</w:t>
      </w:r>
      <w:r w:rsidR="00255CE9" w:rsidRPr="0042564C">
        <w:rPr>
          <w:rFonts w:ascii="Times New Roman" w:hAnsi="Times New Roman" w:cs="Times New Roman"/>
          <w:b/>
          <w:sz w:val="24"/>
          <w:szCs w:val="24"/>
        </w:rPr>
        <w:t xml:space="preserve"> δήλωσε μείωση του κύκλου εργασιών του</w:t>
      </w:r>
      <w:r w:rsidR="00FC299C" w:rsidRPr="0042564C">
        <w:rPr>
          <w:rFonts w:ascii="Times New Roman" w:hAnsi="Times New Roman" w:cs="Times New Roman"/>
          <w:b/>
          <w:sz w:val="24"/>
          <w:szCs w:val="24"/>
        </w:rPr>
        <w:t xml:space="preserve"> (46,2%, 47,6% και 47% αντίστοιχα)</w:t>
      </w:r>
      <w:r w:rsidR="00255CE9" w:rsidRPr="0042564C">
        <w:rPr>
          <w:rFonts w:ascii="Times New Roman" w:hAnsi="Times New Roman" w:cs="Times New Roman"/>
          <w:b/>
          <w:sz w:val="24"/>
          <w:szCs w:val="24"/>
        </w:rPr>
        <w:t xml:space="preserve">. </w:t>
      </w:r>
    </w:p>
    <w:p w:rsidR="00FC575D" w:rsidRPr="0042564C" w:rsidRDefault="00255CE9" w:rsidP="0042564C">
      <w:pPr>
        <w:pStyle w:val="a5"/>
        <w:numPr>
          <w:ilvl w:val="0"/>
          <w:numId w:val="2"/>
        </w:num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
          <w:sz w:val="24"/>
          <w:szCs w:val="24"/>
        </w:rPr>
      </w:pPr>
      <w:r w:rsidRPr="0042564C">
        <w:rPr>
          <w:rFonts w:ascii="Times New Roman" w:hAnsi="Times New Roman" w:cs="Times New Roman"/>
          <w:b/>
          <w:sz w:val="24"/>
          <w:szCs w:val="24"/>
        </w:rPr>
        <w:t xml:space="preserve">Από την άλλη πλευρά, οι </w:t>
      </w:r>
      <w:r w:rsidR="00FC299C" w:rsidRPr="0042564C">
        <w:rPr>
          <w:rFonts w:ascii="Times New Roman" w:hAnsi="Times New Roman" w:cs="Times New Roman"/>
          <w:b/>
          <w:sz w:val="24"/>
          <w:szCs w:val="24"/>
        </w:rPr>
        <w:t xml:space="preserve">μεταποιητικές </w:t>
      </w:r>
      <w:r w:rsidRPr="0042564C">
        <w:rPr>
          <w:rFonts w:ascii="Times New Roman" w:hAnsi="Times New Roman" w:cs="Times New Roman"/>
          <w:b/>
          <w:sz w:val="24"/>
          <w:szCs w:val="24"/>
        </w:rPr>
        <w:t xml:space="preserve">επιχειρήσεις </w:t>
      </w:r>
      <w:r w:rsidR="00FC299C" w:rsidRPr="0042564C">
        <w:rPr>
          <w:rFonts w:ascii="Times New Roman" w:hAnsi="Times New Roman" w:cs="Times New Roman"/>
          <w:b/>
          <w:sz w:val="24"/>
          <w:szCs w:val="24"/>
        </w:rPr>
        <w:t xml:space="preserve">και εκείνες </w:t>
      </w:r>
      <w:r w:rsidRPr="0042564C">
        <w:rPr>
          <w:rFonts w:ascii="Times New Roman" w:hAnsi="Times New Roman" w:cs="Times New Roman"/>
          <w:b/>
          <w:sz w:val="24"/>
          <w:szCs w:val="24"/>
        </w:rPr>
        <w:t xml:space="preserve">με </w:t>
      </w:r>
      <w:r w:rsidR="00FC299C" w:rsidRPr="0042564C">
        <w:rPr>
          <w:rFonts w:ascii="Times New Roman" w:hAnsi="Times New Roman" w:cs="Times New Roman"/>
          <w:b/>
          <w:sz w:val="24"/>
          <w:szCs w:val="24"/>
        </w:rPr>
        <w:t>μεγαλύτερο κύκλο εργασιών (</w:t>
      </w:r>
      <w:r w:rsidRPr="0042564C">
        <w:rPr>
          <w:rFonts w:ascii="Times New Roman" w:hAnsi="Times New Roman" w:cs="Times New Roman"/>
          <w:b/>
          <w:sz w:val="24"/>
          <w:szCs w:val="24"/>
        </w:rPr>
        <w:t xml:space="preserve">πάνω από 300.000€) και </w:t>
      </w:r>
      <w:r w:rsidR="00FC299C" w:rsidRPr="0042564C">
        <w:rPr>
          <w:rFonts w:ascii="Times New Roman" w:hAnsi="Times New Roman" w:cs="Times New Roman"/>
          <w:b/>
          <w:sz w:val="24"/>
          <w:szCs w:val="24"/>
        </w:rPr>
        <w:t xml:space="preserve">μεγαλύτερο </w:t>
      </w:r>
      <w:r w:rsidRPr="0042564C">
        <w:rPr>
          <w:rFonts w:ascii="Times New Roman" w:hAnsi="Times New Roman" w:cs="Times New Roman"/>
          <w:b/>
          <w:sz w:val="24"/>
          <w:szCs w:val="24"/>
        </w:rPr>
        <w:t xml:space="preserve">αριθμό εργαζομένων (πάνω από 5 άτομα) </w:t>
      </w:r>
      <w:r w:rsidR="00FC299C" w:rsidRPr="0042564C">
        <w:rPr>
          <w:rFonts w:ascii="Times New Roman" w:hAnsi="Times New Roman" w:cs="Times New Roman"/>
          <w:b/>
          <w:sz w:val="24"/>
          <w:szCs w:val="24"/>
        </w:rPr>
        <w:t>παρουσιάζουν σημαντικά καλύτερες επιδόσεις καθώς σχεδόν 3 στις 10 κατέγραψαν αύξηση του τζίρου τους το προηγούμενο εξάμηνο (28,2%, 30,6% και 30,3% αντίστοιχα)</w:t>
      </w:r>
      <w:r w:rsidRPr="0042564C">
        <w:rPr>
          <w:rFonts w:ascii="Times New Roman" w:hAnsi="Times New Roman" w:cs="Times New Roman"/>
          <w:b/>
          <w:sz w:val="24"/>
          <w:szCs w:val="24"/>
        </w:rPr>
        <w:t>.</w:t>
      </w:r>
    </w:p>
    <w:p w:rsidR="009813F3" w:rsidRPr="0042564C" w:rsidRDefault="002C4D33" w:rsidP="0042564C">
      <w:pPr>
        <w:pStyle w:val="a5"/>
        <w:numPr>
          <w:ilvl w:val="0"/>
          <w:numId w:val="2"/>
        </w:num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
          <w:sz w:val="24"/>
          <w:szCs w:val="24"/>
        </w:rPr>
      </w:pPr>
      <w:r w:rsidRPr="0042564C">
        <w:rPr>
          <w:rFonts w:ascii="Times New Roman" w:hAnsi="Times New Roman" w:cs="Times New Roman"/>
          <w:b/>
          <w:sz w:val="24"/>
          <w:szCs w:val="24"/>
        </w:rPr>
        <w:t>Περίπου</w:t>
      </w:r>
      <w:r w:rsidR="00255CE9" w:rsidRPr="0042564C">
        <w:rPr>
          <w:rFonts w:ascii="Times New Roman" w:hAnsi="Times New Roman" w:cs="Times New Roman"/>
          <w:b/>
          <w:sz w:val="24"/>
          <w:szCs w:val="24"/>
        </w:rPr>
        <w:t xml:space="preserve"> </w:t>
      </w:r>
      <w:r w:rsidR="00FC299C" w:rsidRPr="0042564C">
        <w:rPr>
          <w:rFonts w:ascii="Times New Roman" w:hAnsi="Times New Roman" w:cs="Times New Roman"/>
          <w:b/>
          <w:sz w:val="24"/>
          <w:szCs w:val="24"/>
        </w:rPr>
        <w:t>4 στις 10 επιχειρήσεις</w:t>
      </w:r>
      <w:r w:rsidR="00255CE9" w:rsidRPr="0042564C">
        <w:rPr>
          <w:rFonts w:ascii="Times New Roman" w:hAnsi="Times New Roman" w:cs="Times New Roman"/>
          <w:b/>
          <w:sz w:val="24"/>
          <w:szCs w:val="24"/>
        </w:rPr>
        <w:t xml:space="preserve"> δήλωσαν ετήσιο τζίρο (2018) έως 50.000€</w:t>
      </w:r>
      <w:r w:rsidR="00FC299C" w:rsidRPr="0042564C">
        <w:rPr>
          <w:rFonts w:ascii="Times New Roman" w:hAnsi="Times New Roman" w:cs="Times New Roman"/>
          <w:b/>
          <w:sz w:val="24"/>
          <w:szCs w:val="24"/>
        </w:rPr>
        <w:t xml:space="preserve"> (39,1%)</w:t>
      </w:r>
      <w:r w:rsidR="009813F3" w:rsidRPr="0042564C">
        <w:rPr>
          <w:rFonts w:ascii="Times New Roman" w:hAnsi="Times New Roman" w:cs="Times New Roman"/>
          <w:b/>
          <w:sz w:val="24"/>
          <w:szCs w:val="24"/>
        </w:rPr>
        <w:t xml:space="preserve"> (44,1% το 2017)</w:t>
      </w:r>
      <w:r w:rsidR="00EB1FA3" w:rsidRPr="0042564C">
        <w:rPr>
          <w:rFonts w:ascii="Times New Roman" w:hAnsi="Times New Roman" w:cs="Times New Roman"/>
          <w:b/>
          <w:sz w:val="24"/>
          <w:szCs w:val="24"/>
        </w:rPr>
        <w:t xml:space="preserve">. Η </w:t>
      </w:r>
      <w:r w:rsidR="00255CE9" w:rsidRPr="0042564C">
        <w:rPr>
          <w:rFonts w:ascii="Times New Roman" w:hAnsi="Times New Roman" w:cs="Times New Roman"/>
          <w:b/>
          <w:sz w:val="24"/>
          <w:szCs w:val="24"/>
        </w:rPr>
        <w:t xml:space="preserve">συντριπτική πλειοψηφία </w:t>
      </w:r>
      <w:r w:rsidR="00EB1FA3" w:rsidRPr="0042564C">
        <w:rPr>
          <w:rFonts w:ascii="Times New Roman" w:hAnsi="Times New Roman" w:cs="Times New Roman"/>
          <w:b/>
          <w:sz w:val="24"/>
          <w:szCs w:val="24"/>
        </w:rPr>
        <w:t xml:space="preserve">των επιχειρήσεων χωρίς προσωπικό </w:t>
      </w:r>
      <w:r w:rsidR="00255CE9" w:rsidRPr="0042564C">
        <w:rPr>
          <w:rFonts w:ascii="Times New Roman" w:hAnsi="Times New Roman" w:cs="Times New Roman"/>
          <w:b/>
          <w:sz w:val="24"/>
          <w:szCs w:val="24"/>
        </w:rPr>
        <w:t>(</w:t>
      </w:r>
      <w:r w:rsidR="00FC299C" w:rsidRPr="0042564C">
        <w:rPr>
          <w:rFonts w:ascii="Times New Roman" w:hAnsi="Times New Roman" w:cs="Times New Roman"/>
          <w:b/>
          <w:sz w:val="24"/>
          <w:szCs w:val="24"/>
        </w:rPr>
        <w:t>69,1</w:t>
      </w:r>
      <w:r w:rsidR="00255CE9" w:rsidRPr="0042564C">
        <w:rPr>
          <w:rFonts w:ascii="Times New Roman" w:hAnsi="Times New Roman" w:cs="Times New Roman"/>
          <w:b/>
          <w:sz w:val="24"/>
          <w:szCs w:val="24"/>
        </w:rPr>
        <w:t xml:space="preserve">%) </w:t>
      </w:r>
      <w:r w:rsidR="00EB1FA3" w:rsidRPr="0042564C">
        <w:rPr>
          <w:rFonts w:ascii="Times New Roman" w:hAnsi="Times New Roman" w:cs="Times New Roman"/>
          <w:b/>
          <w:sz w:val="24"/>
          <w:szCs w:val="24"/>
        </w:rPr>
        <w:t>εμπίπτει σε αυτή την κατηγορία καθώς και οι μισές επιχειρήσεις του τομέα των Υπηρεσιών (50,1%)</w:t>
      </w:r>
      <w:r w:rsidR="009813F3" w:rsidRPr="0042564C">
        <w:rPr>
          <w:rFonts w:ascii="Times New Roman" w:hAnsi="Times New Roman" w:cs="Times New Roman"/>
          <w:b/>
          <w:sz w:val="24"/>
          <w:szCs w:val="24"/>
        </w:rPr>
        <w:t>. Τ</w:t>
      </w:r>
      <w:r w:rsidR="00255CE9" w:rsidRPr="0042564C">
        <w:rPr>
          <w:rFonts w:ascii="Times New Roman" w:hAnsi="Times New Roman" w:cs="Times New Roman"/>
          <w:b/>
          <w:sz w:val="24"/>
          <w:szCs w:val="24"/>
        </w:rPr>
        <w:t xml:space="preserve">ο </w:t>
      </w:r>
      <w:r w:rsidR="00FC299C" w:rsidRPr="0042564C">
        <w:rPr>
          <w:rFonts w:ascii="Times New Roman" w:hAnsi="Times New Roman" w:cs="Times New Roman"/>
          <w:b/>
          <w:sz w:val="24"/>
          <w:szCs w:val="24"/>
        </w:rPr>
        <w:t>17,7%</w:t>
      </w:r>
      <w:r w:rsidR="00EB1FA3" w:rsidRPr="0042564C">
        <w:rPr>
          <w:rFonts w:ascii="Times New Roman" w:hAnsi="Times New Roman" w:cs="Times New Roman"/>
          <w:b/>
          <w:sz w:val="24"/>
          <w:szCs w:val="24"/>
        </w:rPr>
        <w:t xml:space="preserve"> δηλώνει τζίρο</w:t>
      </w:r>
      <w:r w:rsidR="00FC299C" w:rsidRPr="0042564C">
        <w:rPr>
          <w:rFonts w:ascii="Times New Roman" w:hAnsi="Times New Roman" w:cs="Times New Roman"/>
          <w:b/>
          <w:sz w:val="24"/>
          <w:szCs w:val="24"/>
        </w:rPr>
        <w:t xml:space="preserve"> από 50-100.000</w:t>
      </w:r>
      <w:r w:rsidR="00255CE9" w:rsidRPr="0042564C">
        <w:rPr>
          <w:rFonts w:ascii="Times New Roman" w:hAnsi="Times New Roman" w:cs="Times New Roman"/>
          <w:b/>
          <w:sz w:val="24"/>
          <w:szCs w:val="24"/>
        </w:rPr>
        <w:t>€</w:t>
      </w:r>
      <w:r w:rsidR="009813F3" w:rsidRPr="0042564C">
        <w:rPr>
          <w:rFonts w:ascii="Times New Roman" w:hAnsi="Times New Roman" w:cs="Times New Roman"/>
          <w:b/>
          <w:sz w:val="24"/>
          <w:szCs w:val="24"/>
        </w:rPr>
        <w:t xml:space="preserve"> (17,6% το 2017)</w:t>
      </w:r>
      <w:r w:rsidR="00255CE9" w:rsidRPr="0042564C">
        <w:rPr>
          <w:rFonts w:ascii="Times New Roman" w:hAnsi="Times New Roman" w:cs="Times New Roman"/>
          <w:b/>
          <w:sz w:val="24"/>
          <w:szCs w:val="24"/>
        </w:rPr>
        <w:t xml:space="preserve">, </w:t>
      </w:r>
      <w:r w:rsidR="00EB1FA3" w:rsidRPr="0042564C">
        <w:rPr>
          <w:rFonts w:ascii="Times New Roman" w:hAnsi="Times New Roman" w:cs="Times New Roman"/>
          <w:b/>
          <w:sz w:val="24"/>
          <w:szCs w:val="24"/>
        </w:rPr>
        <w:t xml:space="preserve">το </w:t>
      </w:r>
      <w:r w:rsidR="00FC299C" w:rsidRPr="0042564C">
        <w:rPr>
          <w:rFonts w:ascii="Times New Roman" w:hAnsi="Times New Roman" w:cs="Times New Roman"/>
          <w:b/>
          <w:sz w:val="24"/>
          <w:szCs w:val="24"/>
        </w:rPr>
        <w:t>18,4</w:t>
      </w:r>
      <w:r w:rsidR="00EB1FA3" w:rsidRPr="0042564C">
        <w:rPr>
          <w:rFonts w:ascii="Times New Roman" w:hAnsi="Times New Roman" w:cs="Times New Roman"/>
          <w:b/>
          <w:sz w:val="24"/>
          <w:szCs w:val="24"/>
        </w:rPr>
        <w:t>% από 100 έως 300.000</w:t>
      </w:r>
      <w:r w:rsidR="00255CE9" w:rsidRPr="0042564C">
        <w:rPr>
          <w:rFonts w:ascii="Times New Roman" w:hAnsi="Times New Roman" w:cs="Times New Roman"/>
          <w:b/>
          <w:sz w:val="24"/>
          <w:szCs w:val="24"/>
        </w:rPr>
        <w:t>€</w:t>
      </w:r>
      <w:r w:rsidR="009813F3" w:rsidRPr="0042564C">
        <w:rPr>
          <w:rFonts w:ascii="Times New Roman" w:hAnsi="Times New Roman" w:cs="Times New Roman"/>
          <w:b/>
          <w:sz w:val="24"/>
          <w:szCs w:val="24"/>
        </w:rPr>
        <w:t xml:space="preserve"> (15,5% το 2017)</w:t>
      </w:r>
      <w:r w:rsidR="00EB1FA3" w:rsidRPr="0042564C">
        <w:rPr>
          <w:rFonts w:ascii="Times New Roman" w:hAnsi="Times New Roman" w:cs="Times New Roman"/>
          <w:b/>
          <w:sz w:val="24"/>
          <w:szCs w:val="24"/>
        </w:rPr>
        <w:t>, ενώ</w:t>
      </w:r>
      <w:r w:rsidR="00255CE9" w:rsidRPr="0042564C">
        <w:rPr>
          <w:rFonts w:ascii="Times New Roman" w:hAnsi="Times New Roman" w:cs="Times New Roman"/>
          <w:b/>
          <w:sz w:val="24"/>
          <w:szCs w:val="24"/>
        </w:rPr>
        <w:t xml:space="preserve"> </w:t>
      </w:r>
      <w:r w:rsidR="00EB1FA3" w:rsidRPr="0042564C">
        <w:rPr>
          <w:rFonts w:ascii="Times New Roman" w:hAnsi="Times New Roman" w:cs="Times New Roman"/>
          <w:b/>
          <w:sz w:val="24"/>
          <w:szCs w:val="24"/>
        </w:rPr>
        <w:t>σ</w:t>
      </w:r>
      <w:r w:rsidR="00FC299C" w:rsidRPr="0042564C">
        <w:rPr>
          <w:rFonts w:ascii="Times New Roman" w:hAnsi="Times New Roman" w:cs="Times New Roman"/>
          <w:b/>
          <w:sz w:val="24"/>
          <w:szCs w:val="24"/>
        </w:rPr>
        <w:t>χεδόν</w:t>
      </w:r>
      <w:r w:rsidR="00255CE9" w:rsidRPr="0042564C">
        <w:rPr>
          <w:rFonts w:ascii="Times New Roman" w:hAnsi="Times New Roman" w:cs="Times New Roman"/>
          <w:b/>
          <w:sz w:val="24"/>
          <w:szCs w:val="24"/>
        </w:rPr>
        <w:t xml:space="preserve"> 1 στις 5 επιχειρήσεις </w:t>
      </w:r>
      <w:r w:rsidR="00FC299C" w:rsidRPr="0042564C">
        <w:rPr>
          <w:rFonts w:ascii="Times New Roman" w:hAnsi="Times New Roman" w:cs="Times New Roman"/>
          <w:b/>
          <w:sz w:val="24"/>
          <w:szCs w:val="24"/>
        </w:rPr>
        <w:t>δήλωσαν</w:t>
      </w:r>
      <w:r w:rsidR="00255CE9" w:rsidRPr="0042564C">
        <w:rPr>
          <w:rFonts w:ascii="Times New Roman" w:hAnsi="Times New Roman" w:cs="Times New Roman"/>
          <w:b/>
          <w:sz w:val="24"/>
          <w:szCs w:val="24"/>
        </w:rPr>
        <w:t xml:space="preserve"> ετήσιο τ</w:t>
      </w:r>
      <w:r w:rsidR="00FC299C" w:rsidRPr="0042564C">
        <w:rPr>
          <w:rFonts w:ascii="Times New Roman" w:hAnsi="Times New Roman" w:cs="Times New Roman"/>
          <w:b/>
          <w:sz w:val="24"/>
          <w:szCs w:val="24"/>
        </w:rPr>
        <w:t>ζίρο μεγαλύτερο των 300.000€ (18,2</w:t>
      </w:r>
      <w:r w:rsidR="00255CE9" w:rsidRPr="0042564C">
        <w:rPr>
          <w:rFonts w:ascii="Times New Roman" w:hAnsi="Times New Roman" w:cs="Times New Roman"/>
          <w:b/>
          <w:sz w:val="24"/>
          <w:szCs w:val="24"/>
        </w:rPr>
        <w:t xml:space="preserve">%) </w:t>
      </w:r>
      <w:r w:rsidR="009813F3" w:rsidRPr="0042564C">
        <w:rPr>
          <w:rFonts w:ascii="Times New Roman" w:hAnsi="Times New Roman" w:cs="Times New Roman"/>
          <w:b/>
          <w:sz w:val="24"/>
          <w:szCs w:val="24"/>
        </w:rPr>
        <w:t>έναντι 14,9% το</w:t>
      </w:r>
      <w:r w:rsidR="00255CE9" w:rsidRPr="0042564C">
        <w:rPr>
          <w:rFonts w:ascii="Times New Roman" w:hAnsi="Times New Roman" w:cs="Times New Roman"/>
          <w:b/>
          <w:sz w:val="24"/>
          <w:szCs w:val="24"/>
        </w:rPr>
        <w:t xml:space="preserve"> 2017.</w:t>
      </w:r>
    </w:p>
    <w:p w:rsidR="00E855DB" w:rsidRPr="0042564C" w:rsidRDefault="00E855DB" w:rsidP="0042564C">
      <w:pPr>
        <w:pStyle w:val="a5"/>
        <w:numPr>
          <w:ilvl w:val="0"/>
          <w:numId w:val="2"/>
        </w:num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
          <w:sz w:val="24"/>
          <w:szCs w:val="24"/>
        </w:rPr>
      </w:pPr>
      <w:r w:rsidRPr="0042564C">
        <w:rPr>
          <w:rFonts w:ascii="Times New Roman" w:hAnsi="Times New Roman" w:cs="Times New Roman"/>
          <w:b/>
          <w:sz w:val="24"/>
          <w:szCs w:val="24"/>
        </w:rPr>
        <w:t>Ως προς το δείκτη κερδοφορίας για το 2018, το 20,1% των επιχειρήσεων δήλωσε ότι είχε κέρδη κάτω των 5.000€ (19,1% το 2017), ενώ το 15,1% κατέγραψε ζημίες ή μηδενικό κέρδος (13,8% το 2017). Η πλειονότητα των επιχειρήσεων (28,6%) δηλώνει ότι τα φορολογητέα κέρδη είναι μεταξύ 5.000 και 20.000 (25,4% το 2017), ενώ το 13,4% άνω των 20.000€ (13,2% το 2017).</w:t>
      </w:r>
    </w:p>
    <w:p w:rsidR="00E855DB" w:rsidRPr="0042564C" w:rsidRDefault="00E855DB" w:rsidP="0042564C">
      <w:pPr>
        <w:pStyle w:val="a5"/>
        <w:numPr>
          <w:ilvl w:val="0"/>
          <w:numId w:val="2"/>
        </w:num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
          <w:sz w:val="24"/>
          <w:szCs w:val="24"/>
        </w:rPr>
      </w:pPr>
      <w:r w:rsidRPr="0042564C">
        <w:rPr>
          <w:rFonts w:ascii="Times New Roman" w:hAnsi="Times New Roman" w:cs="Times New Roman"/>
          <w:b/>
          <w:sz w:val="24"/>
          <w:szCs w:val="24"/>
        </w:rPr>
        <w:t xml:space="preserve">Όσον αφορά του δείκτες ζήτησης και παραγγελιών το 21,5% και 17,7% αντίστοιχα </w:t>
      </w:r>
      <w:r w:rsidR="0038759C" w:rsidRPr="0042564C">
        <w:rPr>
          <w:rFonts w:ascii="Times New Roman" w:hAnsi="Times New Roman" w:cs="Times New Roman"/>
          <w:b/>
          <w:sz w:val="24"/>
          <w:szCs w:val="24"/>
        </w:rPr>
        <w:t>δήλωσε</w:t>
      </w:r>
      <w:r w:rsidRPr="0042564C">
        <w:rPr>
          <w:rFonts w:ascii="Times New Roman" w:hAnsi="Times New Roman" w:cs="Times New Roman"/>
          <w:b/>
          <w:sz w:val="24"/>
          <w:szCs w:val="24"/>
        </w:rPr>
        <w:t xml:space="preserve"> </w:t>
      </w:r>
      <w:r w:rsidR="0038759C" w:rsidRPr="0042564C">
        <w:rPr>
          <w:rFonts w:ascii="Times New Roman" w:hAnsi="Times New Roman" w:cs="Times New Roman"/>
          <w:b/>
          <w:sz w:val="24"/>
          <w:szCs w:val="24"/>
        </w:rPr>
        <w:t>αύξηση</w:t>
      </w:r>
      <w:r w:rsidRPr="0042564C">
        <w:rPr>
          <w:rFonts w:ascii="Times New Roman" w:hAnsi="Times New Roman" w:cs="Times New Roman"/>
          <w:b/>
          <w:sz w:val="24"/>
          <w:szCs w:val="24"/>
        </w:rPr>
        <w:t xml:space="preserve">, το 38,8% και 37,1% αντίστοιχα </w:t>
      </w:r>
      <w:r w:rsidR="0038759C" w:rsidRPr="0042564C">
        <w:rPr>
          <w:rFonts w:ascii="Times New Roman" w:hAnsi="Times New Roman" w:cs="Times New Roman"/>
          <w:b/>
          <w:sz w:val="24"/>
          <w:szCs w:val="24"/>
        </w:rPr>
        <w:t>μείωση</w:t>
      </w:r>
      <w:r w:rsidR="00373DAE" w:rsidRPr="0042564C">
        <w:rPr>
          <w:rFonts w:ascii="Times New Roman" w:hAnsi="Times New Roman" w:cs="Times New Roman"/>
          <w:b/>
          <w:sz w:val="24"/>
          <w:szCs w:val="24"/>
        </w:rPr>
        <w:t>,</w:t>
      </w:r>
      <w:r w:rsidRPr="0042564C">
        <w:rPr>
          <w:rFonts w:ascii="Times New Roman" w:hAnsi="Times New Roman" w:cs="Times New Roman"/>
          <w:b/>
          <w:sz w:val="24"/>
          <w:szCs w:val="24"/>
        </w:rPr>
        <w:t xml:space="preserve"> ενώ το</w:t>
      </w:r>
      <w:r w:rsidR="0038759C" w:rsidRPr="0042564C">
        <w:rPr>
          <w:rFonts w:ascii="Times New Roman" w:hAnsi="Times New Roman" w:cs="Times New Roman"/>
          <w:b/>
          <w:sz w:val="24"/>
          <w:szCs w:val="24"/>
        </w:rPr>
        <w:t xml:space="preserve"> 39,1% και 41,9% αντίστοιχα δήλωσε πως η κατάσταση παρέμεινε αμετάβλητη.</w:t>
      </w:r>
    </w:p>
    <w:p w:rsidR="00406848" w:rsidRPr="0042564C" w:rsidRDefault="00255CE9" w:rsidP="0042564C">
      <w:pPr>
        <w:pStyle w:val="a5"/>
        <w:numPr>
          <w:ilvl w:val="0"/>
          <w:numId w:val="2"/>
        </w:num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
          <w:sz w:val="24"/>
          <w:szCs w:val="24"/>
        </w:rPr>
      </w:pPr>
      <w:r w:rsidRPr="0042564C">
        <w:rPr>
          <w:rFonts w:ascii="Times New Roman" w:hAnsi="Times New Roman" w:cs="Times New Roman"/>
          <w:b/>
          <w:sz w:val="24"/>
          <w:szCs w:val="24"/>
        </w:rPr>
        <w:t>Οι προβλέψεις των επιχειρηματιών σχετικά με την μελλοντική πορεία του κύκλου εργασιών</w:t>
      </w:r>
      <w:r w:rsidR="0038759C" w:rsidRPr="0042564C">
        <w:rPr>
          <w:rFonts w:ascii="Times New Roman" w:hAnsi="Times New Roman" w:cs="Times New Roman"/>
          <w:b/>
          <w:sz w:val="24"/>
          <w:szCs w:val="24"/>
        </w:rPr>
        <w:t xml:space="preserve">, της ζήτησης και των παραγγελιών παρουσιάζουν αξιοσημείωτη βελτίωση καθώς είναι η πρώτη φορά σε έρευνα του ΙΜΕ ΓΣΕΒΕΕ που οι θετικές προσδοκίες υπερτερούν των αρνητικών. </w:t>
      </w:r>
      <w:r w:rsidRPr="0042564C">
        <w:rPr>
          <w:rFonts w:ascii="Times New Roman" w:hAnsi="Times New Roman" w:cs="Times New Roman"/>
          <w:b/>
          <w:sz w:val="24"/>
          <w:szCs w:val="24"/>
        </w:rPr>
        <w:t xml:space="preserve"> </w:t>
      </w:r>
      <w:r w:rsidR="0038759C" w:rsidRPr="0042564C">
        <w:rPr>
          <w:rFonts w:ascii="Times New Roman" w:hAnsi="Times New Roman" w:cs="Times New Roman"/>
          <w:b/>
          <w:sz w:val="24"/>
          <w:szCs w:val="24"/>
        </w:rPr>
        <w:t xml:space="preserve">Ειδικότερα για τον κύκλο εργασιών 3 στις 10 επιχειρήσεις αναμένουν βελτίωση (30,8%), το 41,6% των ερωτηθέντων δεν αναμένει κάποια μεταβολή, ενώ μόλις το 17,4% αναμένει επιδείνωση. Αντίστοιχες είναι οι προσδοκίες που καταγράφονται για την ζήτηση και τις παραγγελίες. Το 30,8% και 27% αντίστοιχα αναμένει βελτίωση, το 40,7% και 43,8% αντίστοιχα καμία μεταβολή ενώ μόλις το 17,7% και 17,6% αντίστοιχα αναμένει μείωση. </w:t>
      </w:r>
    </w:p>
    <w:p w:rsidR="00255CE9" w:rsidRPr="0042564C" w:rsidRDefault="00406848" w:rsidP="0042564C">
      <w:pPr>
        <w:pStyle w:val="a5"/>
        <w:numPr>
          <w:ilvl w:val="0"/>
          <w:numId w:val="2"/>
        </w:num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
          <w:sz w:val="24"/>
          <w:szCs w:val="24"/>
        </w:rPr>
      </w:pPr>
      <w:r w:rsidRPr="0042564C">
        <w:rPr>
          <w:rFonts w:ascii="Times New Roman" w:hAnsi="Times New Roman" w:cs="Times New Roman"/>
          <w:b/>
          <w:sz w:val="24"/>
          <w:szCs w:val="24"/>
        </w:rPr>
        <w:lastRenderedPageBreak/>
        <w:t xml:space="preserve">Σε γενικές γραμμές οι προσδοκίες των επιχειρήσεων ανεξαρτήτου μεγέθους ή/και ηλικίας παρουσιάζουν μια σχετική ομοιογένεια με τις θετικές προβλέψεις να υπερτερούν των αρνητικών </w:t>
      </w:r>
      <w:r w:rsidR="001056DB">
        <w:rPr>
          <w:rFonts w:ascii="Times New Roman" w:hAnsi="Times New Roman" w:cs="Times New Roman"/>
          <w:b/>
          <w:sz w:val="24"/>
          <w:szCs w:val="24"/>
        </w:rPr>
        <w:t>για όλες σχεδόν τις κατηγορί</w:t>
      </w:r>
      <w:r w:rsidRPr="0042564C">
        <w:rPr>
          <w:rFonts w:ascii="Times New Roman" w:hAnsi="Times New Roman" w:cs="Times New Roman"/>
          <w:b/>
          <w:sz w:val="24"/>
          <w:szCs w:val="24"/>
        </w:rPr>
        <w:t xml:space="preserve">ες και στους 3 δείκτες που </w:t>
      </w:r>
      <w:r w:rsidR="001056DB">
        <w:rPr>
          <w:rFonts w:ascii="Times New Roman" w:hAnsi="Times New Roman" w:cs="Times New Roman"/>
          <w:b/>
          <w:sz w:val="24"/>
          <w:szCs w:val="24"/>
        </w:rPr>
        <w:t>προ</w:t>
      </w:r>
      <w:r w:rsidR="00EB1FA3" w:rsidRPr="0042564C">
        <w:rPr>
          <w:rFonts w:ascii="Times New Roman" w:hAnsi="Times New Roman" w:cs="Times New Roman"/>
          <w:b/>
          <w:sz w:val="24"/>
          <w:szCs w:val="24"/>
        </w:rPr>
        <w:t>α</w:t>
      </w:r>
      <w:r w:rsidR="00320245">
        <w:rPr>
          <w:rFonts w:ascii="Times New Roman" w:hAnsi="Times New Roman" w:cs="Times New Roman"/>
          <w:b/>
          <w:sz w:val="24"/>
          <w:szCs w:val="24"/>
        </w:rPr>
        <w:t>ναφέ</w:t>
      </w:r>
      <w:r w:rsidR="00EB1FA3" w:rsidRPr="0042564C">
        <w:rPr>
          <w:rFonts w:ascii="Times New Roman" w:hAnsi="Times New Roman" w:cs="Times New Roman"/>
          <w:b/>
          <w:sz w:val="24"/>
          <w:szCs w:val="24"/>
        </w:rPr>
        <w:t>ρθηκαν</w:t>
      </w:r>
      <w:r w:rsidRPr="0042564C">
        <w:rPr>
          <w:rFonts w:ascii="Times New Roman" w:hAnsi="Times New Roman" w:cs="Times New Roman"/>
          <w:b/>
          <w:sz w:val="24"/>
          <w:szCs w:val="24"/>
        </w:rPr>
        <w:t xml:space="preserve">.  Είναι προφανές πως οι πρόσφατες εκλογές που οδήγησαν σε αλλαγή της κυβέρνησης έχουν δημιουργήσει ένα θετικό </w:t>
      </w:r>
      <w:r w:rsidR="00495336" w:rsidRPr="0042564C">
        <w:rPr>
          <w:rFonts w:ascii="Times New Roman" w:hAnsi="Times New Roman" w:cs="Times New Roman"/>
          <w:b/>
          <w:sz w:val="24"/>
          <w:szCs w:val="24"/>
        </w:rPr>
        <w:t>κλίμα</w:t>
      </w:r>
      <w:r w:rsidRPr="0042564C">
        <w:rPr>
          <w:rFonts w:ascii="Times New Roman" w:hAnsi="Times New Roman" w:cs="Times New Roman"/>
          <w:b/>
          <w:sz w:val="24"/>
          <w:szCs w:val="24"/>
        </w:rPr>
        <w:t xml:space="preserve"> αισιοδοξίας ότι η κατάσταση της ελληνικής οικονομίας θα βελτιωθεί σημαντικά. Θα πρέπει </w:t>
      </w:r>
      <w:r w:rsidR="00373DAE" w:rsidRPr="0042564C">
        <w:rPr>
          <w:rFonts w:ascii="Times New Roman" w:hAnsi="Times New Roman" w:cs="Times New Roman"/>
          <w:b/>
          <w:sz w:val="24"/>
          <w:szCs w:val="24"/>
        </w:rPr>
        <w:t xml:space="preserve">όμως να επισημανθεί ότι ανάλογη συμπεριφορά, χαμηλότερης ωστόσο έντασης, </w:t>
      </w:r>
      <w:r w:rsidRPr="0042564C">
        <w:rPr>
          <w:rFonts w:ascii="Times New Roman" w:hAnsi="Times New Roman" w:cs="Times New Roman"/>
          <w:b/>
          <w:sz w:val="24"/>
          <w:szCs w:val="24"/>
        </w:rPr>
        <w:t xml:space="preserve">είχε παρατηρηθεί και στην έρευνα οικονομικού κλίματος του Ιανουαρίου του 2015, </w:t>
      </w:r>
      <w:r w:rsidR="00373DAE" w:rsidRPr="0042564C">
        <w:rPr>
          <w:rFonts w:ascii="Times New Roman" w:hAnsi="Times New Roman" w:cs="Times New Roman"/>
          <w:b/>
          <w:sz w:val="24"/>
          <w:szCs w:val="24"/>
        </w:rPr>
        <w:t>όπου</w:t>
      </w:r>
      <w:r w:rsidRPr="0042564C">
        <w:rPr>
          <w:rFonts w:ascii="Times New Roman" w:hAnsi="Times New Roman" w:cs="Times New Roman"/>
          <w:b/>
          <w:sz w:val="24"/>
          <w:szCs w:val="24"/>
        </w:rPr>
        <w:t xml:space="preserve"> η τότε αλλαγή της κυβέρνησης είχε προκαλέσει υψηλές προσδοκίες για το μέλλον</w:t>
      </w:r>
      <w:r w:rsidR="00373DAE" w:rsidRPr="0042564C">
        <w:rPr>
          <w:rFonts w:ascii="Times New Roman" w:hAnsi="Times New Roman" w:cs="Times New Roman"/>
          <w:b/>
          <w:sz w:val="24"/>
          <w:szCs w:val="24"/>
        </w:rPr>
        <w:t>.</w:t>
      </w:r>
    </w:p>
    <w:p w:rsidR="0042564C" w:rsidRDefault="0042564C" w:rsidP="0042564C">
      <w:pPr>
        <w:spacing w:after="0" w:line="360" w:lineRule="auto"/>
        <w:rPr>
          <w:rFonts w:ascii="Times New Roman" w:hAnsi="Times New Roman" w:cs="Times New Roman"/>
          <w:b/>
          <w:sz w:val="24"/>
          <w:szCs w:val="24"/>
          <w:highlight w:val="yellow"/>
        </w:rPr>
      </w:pPr>
    </w:p>
    <w:p w:rsidR="00255CE9" w:rsidRPr="00D971D6" w:rsidRDefault="00A66FA1" w:rsidP="0042564C">
      <w:pPr>
        <w:spacing w:after="0" w:line="360" w:lineRule="auto"/>
        <w:rPr>
          <w:rFonts w:ascii="Times New Roman" w:hAnsi="Times New Roman" w:cs="Times New Roman"/>
          <w:b/>
          <w:sz w:val="24"/>
          <w:szCs w:val="24"/>
        </w:rPr>
      </w:pPr>
      <w:r w:rsidRPr="00D971D6">
        <w:rPr>
          <w:rFonts w:ascii="Times New Roman" w:hAnsi="Times New Roman" w:cs="Times New Roman"/>
          <w:b/>
          <w:sz w:val="24"/>
          <w:szCs w:val="24"/>
        </w:rPr>
        <w:t xml:space="preserve">Β.2 ΡΕΥΣΤΟΤΗΤΑ- </w:t>
      </w:r>
      <w:r w:rsidR="00112C79" w:rsidRPr="00D971D6">
        <w:rPr>
          <w:rFonts w:ascii="Times New Roman" w:hAnsi="Times New Roman" w:cs="Times New Roman"/>
          <w:b/>
          <w:sz w:val="24"/>
          <w:szCs w:val="24"/>
        </w:rPr>
        <w:t xml:space="preserve"> ΧΡΗΜΑΤΟΔΟΤΗΣΗ </w:t>
      </w:r>
      <w:r w:rsidR="009450E0" w:rsidRPr="00D971D6">
        <w:rPr>
          <w:rFonts w:ascii="Times New Roman" w:hAnsi="Times New Roman" w:cs="Times New Roman"/>
          <w:b/>
          <w:sz w:val="24"/>
          <w:szCs w:val="24"/>
        </w:rPr>
        <w:t>–</w:t>
      </w:r>
      <w:r w:rsidR="00112C79" w:rsidRPr="00D971D6">
        <w:rPr>
          <w:rFonts w:ascii="Times New Roman" w:hAnsi="Times New Roman" w:cs="Times New Roman"/>
          <w:b/>
          <w:sz w:val="24"/>
          <w:szCs w:val="24"/>
        </w:rPr>
        <w:t xml:space="preserve"> </w:t>
      </w:r>
      <w:r w:rsidRPr="00D971D6">
        <w:rPr>
          <w:rFonts w:ascii="Times New Roman" w:hAnsi="Times New Roman" w:cs="Times New Roman"/>
          <w:b/>
          <w:sz w:val="24"/>
          <w:szCs w:val="24"/>
        </w:rPr>
        <w:t>ΕΠΕΝΔΥΣΕΙΣ</w:t>
      </w:r>
      <w:r w:rsidR="009450E0" w:rsidRPr="00D971D6">
        <w:rPr>
          <w:rFonts w:ascii="Times New Roman" w:hAnsi="Times New Roman" w:cs="Times New Roman"/>
          <w:b/>
          <w:sz w:val="24"/>
          <w:szCs w:val="24"/>
        </w:rPr>
        <w:t xml:space="preserve"> </w:t>
      </w:r>
    </w:p>
    <w:p w:rsidR="003C054A" w:rsidRPr="00D971D6" w:rsidRDefault="003C054A" w:rsidP="00D971D6">
      <w:pPr>
        <w:pStyle w:val="a5"/>
        <w:numPr>
          <w:ilvl w:val="0"/>
          <w:numId w:val="15"/>
        </w:num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cs="Times New Roman"/>
          <w:b/>
          <w:color w:val="222222"/>
          <w:sz w:val="24"/>
          <w:szCs w:val="24"/>
          <w:lang w:eastAsia="el-GR"/>
        </w:rPr>
      </w:pPr>
      <w:r w:rsidRPr="00D971D6">
        <w:rPr>
          <w:rFonts w:ascii="Times New Roman" w:eastAsia="Times New Roman" w:hAnsi="Times New Roman" w:cs="Times New Roman"/>
          <w:b/>
          <w:color w:val="222222"/>
          <w:sz w:val="24"/>
          <w:szCs w:val="24"/>
          <w:lang w:eastAsia="el-GR"/>
        </w:rPr>
        <w:t>Ο δείκτης ρευστότητας αν και βελτιωμένος συνεχίζει να καταγράφει χαμηλές επιδόσεις σε σύγκριση με τους υπόλοιπους δείκτες (53 μονάδες, που σημαίνει ότι περίπου 1 στις 2 επιχειρήσεις ενδέχεται να αντιμετωπίζουν προβλήματα ρευστότητας) επιβεβαιώνοντας ότι η απουσία ή αδυναμία πρόσβασης σε χρημ</w:t>
      </w:r>
      <w:r w:rsidR="00320245">
        <w:rPr>
          <w:rFonts w:ascii="Times New Roman" w:eastAsia="Times New Roman" w:hAnsi="Times New Roman" w:cs="Times New Roman"/>
          <w:b/>
          <w:color w:val="222222"/>
          <w:sz w:val="24"/>
          <w:szCs w:val="24"/>
          <w:lang w:eastAsia="el-GR"/>
        </w:rPr>
        <w:t>ατοοικονομικά εργαλεία αποτελεί</w:t>
      </w:r>
      <w:r w:rsidRPr="00D971D6">
        <w:rPr>
          <w:rFonts w:ascii="Times New Roman" w:eastAsia="Times New Roman" w:hAnsi="Times New Roman" w:cs="Times New Roman"/>
          <w:b/>
          <w:color w:val="222222"/>
          <w:sz w:val="24"/>
          <w:szCs w:val="24"/>
          <w:lang w:eastAsia="el-GR"/>
        </w:rPr>
        <w:t xml:space="preserve"> μόνιμο διαρθρωτικό χαρακτηριστικό της ελληνικής μικρής και πολύ μικρής επιχειρηματικότητας, και ως τέτοιο επηρεάζει τις προοπτικές ανάκαμψης ιδίως των πολύ μικρών επιχειρήσεων.</w:t>
      </w:r>
    </w:p>
    <w:p w:rsidR="00D971D6" w:rsidRDefault="003C054A" w:rsidP="00D971D6">
      <w:pPr>
        <w:pStyle w:val="a5"/>
        <w:numPr>
          <w:ilvl w:val="0"/>
          <w:numId w:val="15"/>
        </w:numPr>
        <w:pBdr>
          <w:top w:val="single" w:sz="4" w:space="1" w:color="auto"/>
          <w:left w:val="single" w:sz="4" w:space="4" w:color="auto"/>
          <w:bottom w:val="single" w:sz="4" w:space="1" w:color="auto"/>
          <w:right w:val="single" w:sz="4" w:space="4" w:color="auto"/>
        </w:pBdr>
        <w:spacing w:after="0" w:line="360" w:lineRule="auto"/>
        <w:ind w:left="357" w:hanging="357"/>
        <w:jc w:val="both"/>
        <w:rPr>
          <w:rFonts w:ascii="Times New Roman" w:eastAsia="Times New Roman" w:hAnsi="Times New Roman" w:cs="Times New Roman"/>
          <w:b/>
          <w:color w:val="222222"/>
          <w:sz w:val="24"/>
          <w:szCs w:val="24"/>
          <w:lang w:eastAsia="el-GR"/>
        </w:rPr>
      </w:pPr>
      <w:r w:rsidRPr="00D971D6">
        <w:rPr>
          <w:rFonts w:ascii="Times New Roman" w:eastAsia="Times New Roman" w:hAnsi="Times New Roman" w:cs="Times New Roman"/>
          <w:b/>
          <w:color w:val="222222"/>
          <w:sz w:val="24"/>
          <w:szCs w:val="24"/>
          <w:lang w:eastAsia="el-GR"/>
        </w:rPr>
        <w:t>Άλλωστε σε ακόμη μια έρευνα του ΙΜΕ ΓΣΕΒΕΕ καταγράφεται η απουσία τραπεζικής χρηματοδότησης</w:t>
      </w:r>
      <w:r w:rsidR="00221694">
        <w:rPr>
          <w:rFonts w:ascii="Times New Roman" w:eastAsia="Times New Roman" w:hAnsi="Times New Roman" w:cs="Times New Roman"/>
          <w:b/>
          <w:color w:val="222222"/>
          <w:sz w:val="24"/>
          <w:szCs w:val="24"/>
          <w:lang w:eastAsia="el-GR"/>
        </w:rPr>
        <w:t>,</w:t>
      </w:r>
      <w:r w:rsidRPr="00D971D6">
        <w:rPr>
          <w:rFonts w:ascii="Times New Roman" w:eastAsia="Times New Roman" w:hAnsi="Times New Roman" w:cs="Times New Roman"/>
          <w:b/>
          <w:color w:val="222222"/>
          <w:sz w:val="24"/>
          <w:szCs w:val="24"/>
          <w:lang w:eastAsia="el-GR"/>
        </w:rPr>
        <w:t xml:space="preserve"> ιδίως των πολύ μικρών επιχειρήσεων. Αποτελεί πλέον διαχρονικό χαρακτηριστικό ότι 9 στις 10 (90,4%) μικρές και πολύ μικρές επιχειρήσεις δεν αναζητούν τραπεζική χρηματοδότηση</w:t>
      </w:r>
      <w:r w:rsidR="00221694">
        <w:rPr>
          <w:rFonts w:ascii="Times New Roman" w:eastAsia="Times New Roman" w:hAnsi="Times New Roman" w:cs="Times New Roman"/>
          <w:b/>
          <w:color w:val="222222"/>
          <w:sz w:val="24"/>
          <w:szCs w:val="24"/>
          <w:lang w:eastAsia="el-GR"/>
        </w:rPr>
        <w:t>,</w:t>
      </w:r>
      <w:r w:rsidRPr="00D971D6">
        <w:rPr>
          <w:rFonts w:ascii="Times New Roman" w:eastAsia="Times New Roman" w:hAnsi="Times New Roman" w:cs="Times New Roman"/>
          <w:b/>
          <w:color w:val="222222"/>
          <w:sz w:val="24"/>
          <w:szCs w:val="24"/>
          <w:lang w:eastAsia="el-GR"/>
        </w:rPr>
        <w:t xml:space="preserve"> ενώ από τις λίγες επιχειρήσεις που απευθύνονται προς τις τράπεζες τελικά μόνο οι μισές χρηματοδοτούνται.  Αυτό είναι κάτι που θα πρέπει να προβληματίσει καθώς η δυσκολία του χρηματοπιστωτικού τομέα να χρηματοδοτήσει την πραγματική οικονομία έχει εξελιχθεί σε ένα σοβαρό διαρθρωτικό πρόβλημα που καθηλώνει τις προοπτικές ανάπτυξης. Η θεσμοθέτηση από την προηγούμενη κυβέρνηση και η αναμενόμενη δημιουργία και  λειτουργία από την σημερινή κυβέρνηση της Ελληνικής Αναπτυ</w:t>
      </w:r>
      <w:r w:rsidR="00221694">
        <w:rPr>
          <w:rFonts w:ascii="Times New Roman" w:eastAsia="Times New Roman" w:hAnsi="Times New Roman" w:cs="Times New Roman"/>
          <w:b/>
          <w:color w:val="222222"/>
          <w:sz w:val="24"/>
          <w:szCs w:val="24"/>
          <w:lang w:eastAsia="el-GR"/>
        </w:rPr>
        <w:t>ξιακής Τράπεζας που θα επικετρώ</w:t>
      </w:r>
      <w:r w:rsidRPr="00D971D6">
        <w:rPr>
          <w:rFonts w:ascii="Times New Roman" w:eastAsia="Times New Roman" w:hAnsi="Times New Roman" w:cs="Times New Roman"/>
          <w:b/>
          <w:color w:val="222222"/>
          <w:sz w:val="24"/>
          <w:szCs w:val="24"/>
          <w:lang w:eastAsia="el-GR"/>
        </w:rPr>
        <w:t>νεται στις ανάγκες των μικρών και πολύ μικρών επιχειρήσεων</w:t>
      </w:r>
      <w:r w:rsidR="00221694">
        <w:rPr>
          <w:rFonts w:ascii="Times New Roman" w:eastAsia="Times New Roman" w:hAnsi="Times New Roman" w:cs="Times New Roman"/>
          <w:b/>
          <w:color w:val="222222"/>
          <w:sz w:val="24"/>
          <w:szCs w:val="24"/>
          <w:lang w:eastAsia="el-GR"/>
        </w:rPr>
        <w:t>,</w:t>
      </w:r>
      <w:r w:rsidR="00D971D6" w:rsidRPr="00D971D6">
        <w:rPr>
          <w:rFonts w:ascii="Times New Roman" w:eastAsia="Times New Roman" w:hAnsi="Times New Roman" w:cs="Times New Roman"/>
          <w:b/>
          <w:color w:val="222222"/>
          <w:sz w:val="24"/>
          <w:szCs w:val="24"/>
          <w:lang w:eastAsia="el-GR"/>
        </w:rPr>
        <w:t xml:space="preserve"> παρέχοντας τόσο κεφάλαια για την πραγματο</w:t>
      </w:r>
      <w:r w:rsidR="00221694">
        <w:rPr>
          <w:rFonts w:ascii="Times New Roman" w:eastAsia="Times New Roman" w:hAnsi="Times New Roman" w:cs="Times New Roman"/>
          <w:b/>
          <w:color w:val="222222"/>
          <w:sz w:val="24"/>
          <w:szCs w:val="24"/>
          <w:lang w:eastAsia="el-GR"/>
        </w:rPr>
        <w:t>ποίηση επενδύσεων όσο και κεφάλα</w:t>
      </w:r>
      <w:r w:rsidR="00D971D6" w:rsidRPr="00D971D6">
        <w:rPr>
          <w:rFonts w:ascii="Times New Roman" w:eastAsia="Times New Roman" w:hAnsi="Times New Roman" w:cs="Times New Roman"/>
          <w:b/>
          <w:color w:val="222222"/>
          <w:sz w:val="24"/>
          <w:szCs w:val="24"/>
          <w:lang w:eastAsia="el-GR"/>
        </w:rPr>
        <w:t>ια για την καθημερινή λειτουργία των επιχειρήσεων όπως δάνεια μικροχρηματοδότησης ή ακόμα και υπηρεσίες factoring (ιδίως προεξόφλησης τιμολογίων) μπορεί να απελευθερώσει παραγωγικές δυνάμεις με έντονο αναπτυξιακό αποτύπωμα.</w:t>
      </w:r>
    </w:p>
    <w:p w:rsidR="00D971D6" w:rsidRPr="00D971D6" w:rsidRDefault="00D971D6" w:rsidP="00D971D6">
      <w:pPr>
        <w:pStyle w:val="a5"/>
        <w:numPr>
          <w:ilvl w:val="0"/>
          <w:numId w:val="15"/>
        </w:numPr>
        <w:pBdr>
          <w:top w:val="single" w:sz="4" w:space="1" w:color="auto"/>
          <w:left w:val="single" w:sz="4" w:space="4" w:color="auto"/>
          <w:bottom w:val="single" w:sz="4" w:space="1" w:color="auto"/>
          <w:right w:val="single" w:sz="4" w:space="4" w:color="auto"/>
        </w:pBdr>
        <w:spacing w:after="0" w:line="360" w:lineRule="auto"/>
        <w:ind w:left="357" w:hanging="357"/>
        <w:jc w:val="both"/>
        <w:rPr>
          <w:rFonts w:ascii="Times New Roman" w:eastAsia="Times New Roman" w:hAnsi="Times New Roman" w:cs="Times New Roman"/>
          <w:b/>
          <w:color w:val="222222"/>
          <w:sz w:val="24"/>
          <w:szCs w:val="24"/>
          <w:lang w:eastAsia="el-GR"/>
        </w:rPr>
      </w:pPr>
      <w:r w:rsidRPr="00D971D6">
        <w:rPr>
          <w:rFonts w:ascii="Times New Roman" w:eastAsia="Times New Roman" w:hAnsi="Times New Roman" w:cs="Times New Roman"/>
          <w:b/>
          <w:color w:val="222222"/>
          <w:sz w:val="24"/>
          <w:szCs w:val="24"/>
          <w:lang w:eastAsia="el-GR"/>
        </w:rPr>
        <w:t xml:space="preserve">Ειδικότερα για την ρευστότητα των επιχειρήσεων το Α εξάμηνο του 2019 το 14,6% δήλωσε ότι αυξήθηκε, το 37,8% ότι παρέμεινε αμετάβλητη, ενώ το 46,4% δήλωσε ότι μειώθηκε. Τα μεγαλύτερα προβλήματα ρευστότητας καταγράφονται στις πολύ μικρές με βάση τον τζίρο και </w:t>
      </w:r>
      <w:r w:rsidRPr="00D971D6">
        <w:rPr>
          <w:rFonts w:ascii="Times New Roman" w:eastAsia="Times New Roman" w:hAnsi="Times New Roman" w:cs="Times New Roman"/>
          <w:b/>
          <w:color w:val="222222"/>
          <w:sz w:val="24"/>
          <w:szCs w:val="24"/>
          <w:lang w:eastAsia="el-GR"/>
        </w:rPr>
        <w:lastRenderedPageBreak/>
        <w:t>τον αριθμό εργαζομένων επιχειρήσεις (για το 54,6% και το  51,1% αντίστοιχα η ρευστότητα μειώθηκε).</w:t>
      </w:r>
    </w:p>
    <w:p w:rsidR="00D971D6" w:rsidRPr="00D971D6" w:rsidRDefault="00D971D6" w:rsidP="00D971D6">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cs="Times New Roman"/>
          <w:b/>
          <w:color w:val="222222"/>
          <w:sz w:val="24"/>
          <w:szCs w:val="24"/>
          <w:lang w:eastAsia="el-GR"/>
        </w:rPr>
      </w:pPr>
    </w:p>
    <w:p w:rsidR="003C054A" w:rsidRPr="00D971D6" w:rsidRDefault="003C054A" w:rsidP="00D971D6">
      <w:pPr>
        <w:pStyle w:val="a5"/>
        <w:numPr>
          <w:ilvl w:val="0"/>
          <w:numId w:val="15"/>
        </w:num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cs="Times New Roman"/>
          <w:b/>
          <w:color w:val="222222"/>
          <w:sz w:val="24"/>
          <w:szCs w:val="24"/>
          <w:lang w:eastAsia="el-GR"/>
        </w:rPr>
      </w:pPr>
      <w:r w:rsidRPr="00D971D6">
        <w:rPr>
          <w:rFonts w:ascii="Times New Roman" w:eastAsia="Times New Roman" w:hAnsi="Times New Roman" w:cs="Times New Roman"/>
          <w:b/>
          <w:color w:val="222222"/>
          <w:sz w:val="24"/>
          <w:szCs w:val="24"/>
          <w:lang w:eastAsia="el-GR"/>
        </w:rPr>
        <w:t>Τις καλύτερες επιδόσεις στον δείκτη ρευστότητας καταγράφουν οι μεγαλύτερες με βάση τον τζίρο και τον αριθμό εργαζομένων επιχειρήσεις (20,4% αυξήθηκε και 40,1% αμετάβλητη, 23,7% αυξήθηκε και 34,9% αμετάβλητη αντίστοιχα). Ως προς τους κλάδους την καλύτερη επίδοση καταγράφει ο κλάδος της μεταποίησης (20% αυξήθηκε και 36,4% αμετάβλητη).</w:t>
      </w:r>
    </w:p>
    <w:p w:rsidR="003C054A" w:rsidRPr="00D971D6" w:rsidRDefault="003C054A" w:rsidP="00D971D6">
      <w:pPr>
        <w:pStyle w:val="a5"/>
        <w:numPr>
          <w:ilvl w:val="0"/>
          <w:numId w:val="15"/>
        </w:num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cs="Times New Roman"/>
          <w:b/>
          <w:color w:val="222222"/>
          <w:sz w:val="24"/>
          <w:szCs w:val="24"/>
          <w:lang w:eastAsia="el-GR"/>
        </w:rPr>
      </w:pPr>
      <w:r w:rsidRPr="00D971D6">
        <w:rPr>
          <w:rFonts w:ascii="Times New Roman" w:eastAsia="Times New Roman" w:hAnsi="Times New Roman" w:cs="Times New Roman"/>
          <w:b/>
          <w:color w:val="222222"/>
          <w:sz w:val="24"/>
          <w:szCs w:val="24"/>
          <w:lang w:eastAsia="el-GR"/>
        </w:rPr>
        <w:t>Γενικά ο κλάδος της μεταποίησης παρουσιάζει καλύτερες επιδόσεις σε σχέση με το εμπόριο και τις υπηρεσίες. Η βελτίωση των δεικτών της μεταποίησης δικαιολογούνται</w:t>
      </w:r>
      <w:r w:rsidR="00221694">
        <w:rPr>
          <w:rFonts w:ascii="Times New Roman" w:eastAsia="Times New Roman" w:hAnsi="Times New Roman" w:cs="Times New Roman"/>
          <w:b/>
          <w:color w:val="222222"/>
          <w:sz w:val="24"/>
          <w:szCs w:val="24"/>
          <w:lang w:eastAsia="el-GR"/>
        </w:rPr>
        <w:t xml:space="preserve"> και από το εύρημα ότι κατά μέσο όρο</w:t>
      </w:r>
      <w:r w:rsidRPr="00D971D6">
        <w:rPr>
          <w:rFonts w:ascii="Times New Roman" w:eastAsia="Times New Roman" w:hAnsi="Times New Roman" w:cs="Times New Roman"/>
          <w:b/>
          <w:color w:val="222222"/>
          <w:sz w:val="24"/>
          <w:szCs w:val="24"/>
          <w:lang w:eastAsia="el-GR"/>
        </w:rPr>
        <w:t xml:space="preserve"> οι μικρές μεταποιητικές επιχειρήσεις αξιοποιούν το 60,7% του παραγωγικού τους δυναμικού. Παρόλο που το ποσοστό αυτό υπολείπεται αρκετά από το να χαρακτηριστεί ως ικανοποιητικό, εντούτοις παρουσιάζει μια αύξηση της δραστηριότητας των μεταποιητικών επιχειρήσεων καθώς είναι αρκετά βελτιωμένη σε σχέση με το 2017 όπου σε αντίστοιχη ερώτηση οι μεταποιητικές επιχ</w:t>
      </w:r>
      <w:r w:rsidR="00221694">
        <w:rPr>
          <w:rFonts w:ascii="Times New Roman" w:eastAsia="Times New Roman" w:hAnsi="Times New Roman" w:cs="Times New Roman"/>
          <w:b/>
          <w:color w:val="222222"/>
          <w:sz w:val="24"/>
          <w:szCs w:val="24"/>
          <w:lang w:eastAsia="el-GR"/>
        </w:rPr>
        <w:t>ειρήσεις  αξιοποιούσαν κατά μέσο όρο</w:t>
      </w:r>
      <w:r w:rsidRPr="00D971D6">
        <w:rPr>
          <w:rFonts w:ascii="Times New Roman" w:eastAsia="Times New Roman" w:hAnsi="Times New Roman" w:cs="Times New Roman"/>
          <w:b/>
          <w:color w:val="222222"/>
          <w:sz w:val="24"/>
          <w:szCs w:val="24"/>
          <w:lang w:eastAsia="el-GR"/>
        </w:rPr>
        <w:t xml:space="preserve"> το 51,3% του παραγωγικού τους δυναμικού.</w:t>
      </w:r>
    </w:p>
    <w:p w:rsidR="003C054A" w:rsidRPr="00D971D6" w:rsidRDefault="003C054A" w:rsidP="00D971D6">
      <w:pPr>
        <w:pStyle w:val="a5"/>
        <w:numPr>
          <w:ilvl w:val="0"/>
          <w:numId w:val="15"/>
        </w:num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cs="Times New Roman"/>
          <w:b/>
          <w:color w:val="222222"/>
          <w:sz w:val="24"/>
          <w:szCs w:val="24"/>
          <w:lang w:eastAsia="el-GR"/>
        </w:rPr>
      </w:pPr>
      <w:r w:rsidRPr="00D971D6">
        <w:rPr>
          <w:rFonts w:ascii="Times New Roman" w:eastAsia="Times New Roman" w:hAnsi="Times New Roman" w:cs="Times New Roman"/>
          <w:b/>
          <w:color w:val="222222"/>
          <w:sz w:val="24"/>
          <w:szCs w:val="24"/>
          <w:lang w:eastAsia="el-GR"/>
        </w:rPr>
        <w:t>Όσον αφορά τις προβλέψεις για την ρευστότητα</w:t>
      </w:r>
      <w:r w:rsidR="00221694">
        <w:rPr>
          <w:rFonts w:ascii="Times New Roman" w:eastAsia="Times New Roman" w:hAnsi="Times New Roman" w:cs="Times New Roman"/>
          <w:b/>
          <w:color w:val="222222"/>
          <w:sz w:val="24"/>
          <w:szCs w:val="24"/>
          <w:lang w:eastAsia="el-GR"/>
        </w:rPr>
        <w:t>,</w:t>
      </w:r>
      <w:r w:rsidRPr="00D971D6">
        <w:rPr>
          <w:rFonts w:ascii="Times New Roman" w:eastAsia="Times New Roman" w:hAnsi="Times New Roman" w:cs="Times New Roman"/>
          <w:b/>
          <w:color w:val="222222"/>
          <w:sz w:val="24"/>
          <w:szCs w:val="24"/>
          <w:lang w:eastAsia="el-GR"/>
        </w:rPr>
        <w:t xml:space="preserve"> καταγράφεται μια εμφανής βελτίωση που προφανώς ένα σημαντικό μέρος αυτής οφείλεται στις θετικές προσδοκίες που έχει δημιουργήσει η αλλαγή της κυβέρνησης. Είναι μάλιστα η πρώτη φορά σε έρευνα του ΙΜΕ ΓΣΕΒΕΕ οι θετικές προβλέψεις υπερτερούν των αρνητικών. Συγκεκριμένα το 28,4% των επιχειρήσεων δήλωσαν ότι η ρευστότητα το επόμενο εξάμηνο θα αυξηθεί, το 42,8% ότι θα παραμείνει αμετάβλητη, ενώ μόλις το 18,7% δήλωσε πως θα μειωθεί. Περισσότερο απαισιόδοξ</w:t>
      </w:r>
      <w:r w:rsidR="00320245">
        <w:rPr>
          <w:rFonts w:ascii="Times New Roman" w:eastAsia="Times New Roman" w:hAnsi="Times New Roman" w:cs="Times New Roman"/>
          <w:b/>
          <w:color w:val="222222"/>
          <w:sz w:val="24"/>
          <w:szCs w:val="24"/>
          <w:lang w:eastAsia="el-GR"/>
        </w:rPr>
        <w:t xml:space="preserve">ες </w:t>
      </w:r>
      <w:r w:rsidRPr="00D971D6">
        <w:rPr>
          <w:rFonts w:ascii="Times New Roman" w:eastAsia="Times New Roman" w:hAnsi="Times New Roman" w:cs="Times New Roman"/>
          <w:b/>
          <w:color w:val="222222"/>
          <w:sz w:val="24"/>
          <w:szCs w:val="24"/>
          <w:lang w:eastAsia="el-GR"/>
        </w:rPr>
        <w:t>εμφανίζονται οι επιχειρήσεις με τζίρο έως 50.000 € όπου αποτελεί και την μοναδική κατηγορία όπου οι θετικές προβλέψεις υστερούν των αρνητικών (21,3% θα αυξηθεί έναντι 24,8% που δήλωσε ότι θα μειωθεί.</w:t>
      </w:r>
    </w:p>
    <w:p w:rsidR="00D971D6" w:rsidRDefault="003C054A" w:rsidP="00D971D6">
      <w:pPr>
        <w:pStyle w:val="a5"/>
        <w:numPr>
          <w:ilvl w:val="0"/>
          <w:numId w:val="15"/>
        </w:num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cs="Times New Roman"/>
          <w:b/>
          <w:color w:val="222222"/>
          <w:sz w:val="24"/>
          <w:szCs w:val="24"/>
          <w:lang w:eastAsia="el-GR"/>
        </w:rPr>
      </w:pPr>
      <w:r w:rsidRPr="00D971D6">
        <w:rPr>
          <w:rFonts w:ascii="Times New Roman" w:eastAsia="Times New Roman" w:hAnsi="Times New Roman" w:cs="Times New Roman"/>
          <w:b/>
          <w:color w:val="222222"/>
          <w:sz w:val="24"/>
          <w:szCs w:val="24"/>
          <w:lang w:eastAsia="el-GR"/>
        </w:rPr>
        <w:t xml:space="preserve">Ως προς την επενδυτική δραστηριότητα τα στοιχεία του Α εξαμήνου του 2019 είναι ελαφρώς καλύτερα σε σχέση με εκείνα του β εξαμήνου του 2018 σε σχέση με τις επιχειρήσεις που πραγματοποίησαν επενδύσεις. Συγκεκριμένα το 14,9% των ερωτώμενων δήλωσαν ότι αύξησαν την επενδυτική τους δραστηριότητα (13% το Β εξάμηνο του 2018) γεγονός που </w:t>
      </w:r>
      <w:r w:rsidR="00D971D6">
        <w:rPr>
          <w:rFonts w:ascii="Times New Roman" w:eastAsia="Times New Roman" w:hAnsi="Times New Roman" w:cs="Times New Roman"/>
          <w:b/>
          <w:color w:val="222222"/>
          <w:sz w:val="24"/>
          <w:szCs w:val="24"/>
          <w:lang w:eastAsia="el-GR"/>
        </w:rPr>
        <w:t>συμβαδίζει και με</w:t>
      </w:r>
      <w:r w:rsidRPr="00D971D6">
        <w:rPr>
          <w:rFonts w:ascii="Times New Roman" w:eastAsia="Times New Roman" w:hAnsi="Times New Roman" w:cs="Times New Roman"/>
          <w:b/>
          <w:color w:val="222222"/>
          <w:sz w:val="24"/>
          <w:szCs w:val="24"/>
          <w:lang w:eastAsia="el-GR"/>
        </w:rPr>
        <w:t xml:space="preserve"> τα επίσημα στοιχεία της ΕΛΣΤΑΤ</w:t>
      </w:r>
      <w:bookmarkStart w:id="0" w:name="_ftnref1"/>
      <w:r w:rsidR="00A958F9">
        <w:rPr>
          <w:rStyle w:val="a8"/>
          <w:rFonts w:ascii="Times New Roman" w:eastAsia="Times New Roman" w:hAnsi="Times New Roman" w:cs="Times New Roman"/>
          <w:b/>
          <w:color w:val="222222"/>
          <w:sz w:val="24"/>
          <w:szCs w:val="24"/>
          <w:lang w:eastAsia="el-GR"/>
        </w:rPr>
        <w:footnoteReference w:id="2"/>
      </w:r>
      <w:bookmarkEnd w:id="0"/>
      <w:r w:rsidRPr="00D971D6">
        <w:rPr>
          <w:rFonts w:ascii="Times New Roman" w:eastAsia="Times New Roman" w:hAnsi="Times New Roman" w:cs="Times New Roman"/>
          <w:b/>
          <w:color w:val="222222"/>
          <w:sz w:val="24"/>
          <w:szCs w:val="24"/>
          <w:lang w:eastAsia="el-GR"/>
        </w:rPr>
        <w:t> όπου ο ακαθάριστος σχηματισμός παγίου κεφαλαιου για το 1</w:t>
      </w:r>
      <w:r w:rsidRPr="00D971D6">
        <w:rPr>
          <w:rFonts w:ascii="Times New Roman" w:eastAsia="Times New Roman" w:hAnsi="Times New Roman" w:cs="Times New Roman"/>
          <w:b/>
          <w:color w:val="222222"/>
          <w:sz w:val="24"/>
          <w:szCs w:val="24"/>
          <w:vertAlign w:val="superscript"/>
          <w:lang w:eastAsia="el-GR"/>
        </w:rPr>
        <w:t>ο</w:t>
      </w:r>
      <w:r w:rsidRPr="00D971D6">
        <w:rPr>
          <w:rFonts w:ascii="Times New Roman" w:eastAsia="Times New Roman" w:hAnsi="Times New Roman" w:cs="Times New Roman"/>
          <w:b/>
          <w:color w:val="222222"/>
          <w:sz w:val="24"/>
          <w:szCs w:val="24"/>
          <w:lang w:eastAsia="el-GR"/>
        </w:rPr>
        <w:t xml:space="preserve"> τρίμηνο του 2019 εμφανίζεται αυξημένος σε σχέση με </w:t>
      </w:r>
      <w:r w:rsidR="00D971D6">
        <w:rPr>
          <w:rFonts w:ascii="Times New Roman" w:eastAsia="Times New Roman" w:hAnsi="Times New Roman" w:cs="Times New Roman"/>
          <w:b/>
          <w:color w:val="222222"/>
          <w:sz w:val="24"/>
          <w:szCs w:val="24"/>
          <w:lang w:eastAsia="el-GR"/>
        </w:rPr>
        <w:t xml:space="preserve">το προηγούμενο τρίμηνο. </w:t>
      </w:r>
      <w:r w:rsidR="00D971D6" w:rsidRPr="00D971D6">
        <w:rPr>
          <w:rFonts w:ascii="Times New Roman" w:eastAsia="Times New Roman" w:hAnsi="Times New Roman" w:cs="Times New Roman"/>
          <w:b/>
          <w:color w:val="222222"/>
          <w:sz w:val="24"/>
          <w:szCs w:val="24"/>
          <w:lang w:eastAsia="el-GR"/>
        </w:rPr>
        <w:t>Ωστόσο παρά την αυξηση που παρουσιάζουν οι επενδύσεις που πραγματοποιούν οι μικρές και πολύ μικρές επιχειρήσεις στις 4  τελευταίες έρευνες κλίματος του ΙΜΕ ΓΣΕΒΕΕ η επενδυτική δραστηριότητα κινείται σε σχετικά χαμηλά επίπεδα</w:t>
      </w:r>
      <w:r w:rsidR="00F87594">
        <w:rPr>
          <w:rFonts w:ascii="Times New Roman" w:eastAsia="Times New Roman" w:hAnsi="Times New Roman" w:cs="Times New Roman"/>
          <w:b/>
          <w:color w:val="222222"/>
          <w:sz w:val="24"/>
          <w:szCs w:val="24"/>
          <w:lang w:eastAsia="el-GR"/>
        </w:rPr>
        <w:t>.</w:t>
      </w:r>
    </w:p>
    <w:p w:rsidR="003C054A" w:rsidRPr="00D971D6" w:rsidRDefault="00D971D6" w:rsidP="00D971D6">
      <w:pPr>
        <w:pStyle w:val="a5"/>
        <w:numPr>
          <w:ilvl w:val="0"/>
          <w:numId w:val="15"/>
        </w:num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cs="Times New Roman"/>
          <w:b/>
          <w:color w:val="222222"/>
          <w:sz w:val="24"/>
          <w:szCs w:val="24"/>
          <w:lang w:eastAsia="el-GR"/>
        </w:rPr>
      </w:pPr>
      <w:r w:rsidRPr="00D971D6">
        <w:rPr>
          <w:rFonts w:ascii="Times New Roman" w:eastAsia="Times New Roman" w:hAnsi="Times New Roman" w:cs="Times New Roman"/>
          <w:b/>
          <w:color w:val="222222"/>
          <w:sz w:val="24"/>
          <w:szCs w:val="24"/>
          <w:lang w:eastAsia="el-GR"/>
        </w:rPr>
        <w:lastRenderedPageBreak/>
        <w:t>Εξετάζοντας σε μεγαλυτέρο χρονικό βάθος τις επενδύσεις που πραγματοποίησαν οι ΜμΕ την τελευταία τριετία τα ευρήματα της έρευνας δείχνουν ότι</w:t>
      </w:r>
      <w:r w:rsidR="003C054A" w:rsidRPr="00D971D6">
        <w:rPr>
          <w:rFonts w:ascii="Times New Roman" w:eastAsia="Times New Roman" w:hAnsi="Times New Roman" w:cs="Times New Roman"/>
          <w:b/>
          <w:color w:val="222222"/>
          <w:sz w:val="24"/>
          <w:szCs w:val="24"/>
          <w:lang w:eastAsia="el-GR"/>
        </w:rPr>
        <w:t xml:space="preserve"> </w:t>
      </w:r>
      <w:r w:rsidRPr="00D971D6">
        <w:rPr>
          <w:rFonts w:ascii="Times New Roman" w:eastAsia="Times New Roman" w:hAnsi="Times New Roman" w:cs="Times New Roman"/>
          <w:b/>
          <w:color w:val="222222"/>
          <w:sz w:val="24"/>
          <w:szCs w:val="24"/>
          <w:lang w:eastAsia="el-GR"/>
        </w:rPr>
        <w:t xml:space="preserve">σχεδόν </w:t>
      </w:r>
      <w:r w:rsidR="003C054A" w:rsidRPr="00D971D6">
        <w:rPr>
          <w:rFonts w:ascii="Times New Roman" w:eastAsia="Times New Roman" w:hAnsi="Times New Roman" w:cs="Times New Roman"/>
          <w:b/>
          <w:color w:val="222222"/>
          <w:sz w:val="24"/>
          <w:szCs w:val="24"/>
          <w:lang w:eastAsia="el-GR"/>
        </w:rPr>
        <w:t>4 στις 10 επιχειρήσεις (36,6%) πραγματοποίησαν κάποια μορφής επένδυση. Αν και το ποσοστό αυτό φαίνεται αρκετά υψηλό θα πρέπει να υπογραμμιστεί ότι η συντριπτική πλειοψηφία των μικρών και πολύ μικρών επιχειρήσεων, δηλαδή το 63%, δήλωσε πως δεν πραγματοποίησε καμία επένδυση την τελευταία τριετία.</w:t>
      </w:r>
    </w:p>
    <w:p w:rsidR="003C054A" w:rsidRPr="00D971D6" w:rsidRDefault="003C054A" w:rsidP="00D971D6">
      <w:pPr>
        <w:pStyle w:val="a5"/>
        <w:numPr>
          <w:ilvl w:val="0"/>
          <w:numId w:val="15"/>
        </w:num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cs="Times New Roman"/>
          <w:b/>
          <w:color w:val="222222"/>
          <w:sz w:val="24"/>
          <w:szCs w:val="24"/>
          <w:lang w:eastAsia="el-GR"/>
        </w:rPr>
      </w:pPr>
      <w:r w:rsidRPr="00D971D6">
        <w:rPr>
          <w:rFonts w:ascii="Times New Roman" w:eastAsia="Times New Roman" w:hAnsi="Times New Roman" w:cs="Times New Roman"/>
          <w:b/>
          <w:color w:val="222222"/>
          <w:sz w:val="24"/>
          <w:szCs w:val="24"/>
          <w:lang w:eastAsia="el-GR"/>
        </w:rPr>
        <w:t>Στα επιμέρους στοιχεία οι επιχειρήσεις που πραγματοποίησαν τις περισσότερες επενδύσεις ήταν οι μεγαλύτερες με βάση τον τζίρο (61,2%) και τον αριθμό εργαζομένων (63,8%).</w:t>
      </w:r>
    </w:p>
    <w:p w:rsidR="003C054A" w:rsidRPr="00D971D6" w:rsidRDefault="003C054A" w:rsidP="00D971D6">
      <w:pPr>
        <w:pStyle w:val="a5"/>
        <w:numPr>
          <w:ilvl w:val="0"/>
          <w:numId w:val="15"/>
        </w:num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cs="Times New Roman"/>
          <w:b/>
          <w:color w:val="222222"/>
          <w:sz w:val="24"/>
          <w:szCs w:val="24"/>
          <w:lang w:eastAsia="el-GR"/>
        </w:rPr>
      </w:pPr>
      <w:r w:rsidRPr="00D971D6">
        <w:rPr>
          <w:rFonts w:ascii="Times New Roman" w:eastAsia="Times New Roman" w:hAnsi="Times New Roman" w:cs="Times New Roman"/>
          <w:b/>
          <w:color w:val="222222"/>
          <w:sz w:val="24"/>
          <w:szCs w:val="24"/>
          <w:lang w:eastAsia="el-GR"/>
        </w:rPr>
        <w:t>Ως προς το είδος της επένδυσης από τις επιχειρήσεις που πραγματοποίησαν επενδύσεις το 37,2% πραγματοπο</w:t>
      </w:r>
      <w:r w:rsidR="00221694">
        <w:rPr>
          <w:rFonts w:ascii="Times New Roman" w:eastAsia="Times New Roman" w:hAnsi="Times New Roman" w:cs="Times New Roman"/>
          <w:b/>
          <w:color w:val="222222"/>
          <w:sz w:val="24"/>
          <w:szCs w:val="24"/>
          <w:lang w:eastAsia="el-GR"/>
        </w:rPr>
        <w:t>ίησε επενδύσεις για τεχνολογικό</w:t>
      </w:r>
      <w:r w:rsidRPr="00D971D6">
        <w:rPr>
          <w:rFonts w:ascii="Times New Roman" w:eastAsia="Times New Roman" w:hAnsi="Times New Roman" w:cs="Times New Roman"/>
          <w:b/>
          <w:color w:val="222222"/>
          <w:sz w:val="24"/>
          <w:szCs w:val="24"/>
          <w:lang w:eastAsia="el-GR"/>
        </w:rPr>
        <w:t>– ψηφιακό εξοπλισμό, το 37,2% για μηχανολογικό εξοπλισμό και το 25,6% για κτιριακές εγκαταστάσεις. Από τα ευρήματα φαίνεται ότι οι μικρές και πολύ μικρές επιχειρήσεις καταβάλλουν προσπάθειες προσαρμογής στα νέα δεδομένα που δημιουργούν οι τεχνολογικές εξελίξεις. Ωστόσο η απουσία χρηματοδότησης όπως ήδη προαναφέρθηκε σε συνδυασμό με την υπερφορολόγηση και την απουσία κινήτρων καθιστούν τις επενδύσεις αυτές περιορισμένης κλίμακας. Αυτό τουλάχιστον προκύπτει από το εύρημα ότι οι 9 στις 10 επιχειρήσεις (88,5%) που πραγματοποίησαν επενδύσεις χρηματοδότησαν τις επενδύσεις αυτές με ίδια κεφάλαια. Είναι μάλιστα χαρακτηριστικό ότι οι επιχειρήσεις που χρηματοδότησαν τις επενδύσεις τους μέσω τραπεζικού δανεισμού είναι λιγότερες από εκείνες που βρήκαν χρηματοδότηση μέσω ΕΣΠΑ (4,1% και 5,4% αντίστοιχα).</w:t>
      </w:r>
    </w:p>
    <w:p w:rsidR="003C054A" w:rsidRPr="00D971D6" w:rsidRDefault="003C054A" w:rsidP="00D971D6">
      <w:pPr>
        <w:pStyle w:val="a5"/>
        <w:numPr>
          <w:ilvl w:val="0"/>
          <w:numId w:val="15"/>
        </w:num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cs="Times New Roman"/>
          <w:b/>
          <w:color w:val="222222"/>
          <w:sz w:val="24"/>
          <w:szCs w:val="24"/>
          <w:lang w:eastAsia="el-GR"/>
        </w:rPr>
      </w:pPr>
      <w:r w:rsidRPr="00D971D6">
        <w:rPr>
          <w:rFonts w:ascii="Times New Roman" w:eastAsia="Times New Roman" w:hAnsi="Times New Roman" w:cs="Times New Roman"/>
          <w:b/>
          <w:color w:val="222222"/>
          <w:sz w:val="24"/>
          <w:szCs w:val="24"/>
          <w:lang w:eastAsia="el-GR"/>
        </w:rPr>
        <w:t>Ως προς τις επενδυτικές προβλέψεις για το επόμενο εξάμηνο η έρευνα καταγράφει το μεγαλύτερο ποσοστό πρόθεσης αύξησης των επενδύσεων των ερευνών οικονομικού κλίματος του ΙΜΕ ΓΣΕΒΕΕ καθώς το 15,4% των επιχειρήσεων δηλώνει πως θα πραγματοποιήσει επενδύσεις το επόμενο διάστημα.</w:t>
      </w:r>
    </w:p>
    <w:p w:rsidR="003C054A" w:rsidRPr="00D971D6" w:rsidRDefault="003C054A" w:rsidP="00D971D6">
      <w:pPr>
        <w:pStyle w:val="a5"/>
        <w:numPr>
          <w:ilvl w:val="0"/>
          <w:numId w:val="15"/>
        </w:num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cs="Times New Roman"/>
          <w:b/>
          <w:color w:val="222222"/>
          <w:sz w:val="24"/>
          <w:szCs w:val="24"/>
          <w:lang w:eastAsia="el-GR"/>
        </w:rPr>
      </w:pPr>
      <w:r w:rsidRPr="00D971D6">
        <w:rPr>
          <w:rFonts w:ascii="Times New Roman" w:eastAsia="Times New Roman" w:hAnsi="Times New Roman" w:cs="Times New Roman"/>
          <w:b/>
          <w:color w:val="222222"/>
          <w:sz w:val="24"/>
          <w:szCs w:val="24"/>
          <w:lang w:eastAsia="el-GR"/>
        </w:rPr>
        <w:t>Τέλος</w:t>
      </w:r>
      <w:r w:rsidR="00221694">
        <w:rPr>
          <w:rFonts w:ascii="Times New Roman" w:eastAsia="Times New Roman" w:hAnsi="Times New Roman" w:cs="Times New Roman"/>
          <w:b/>
          <w:color w:val="222222"/>
          <w:sz w:val="24"/>
          <w:szCs w:val="24"/>
          <w:lang w:eastAsia="el-GR"/>
        </w:rPr>
        <w:t>,</w:t>
      </w:r>
      <w:r w:rsidRPr="00D971D6">
        <w:rPr>
          <w:rFonts w:ascii="Times New Roman" w:eastAsia="Times New Roman" w:hAnsi="Times New Roman" w:cs="Times New Roman"/>
          <w:b/>
          <w:color w:val="222222"/>
          <w:sz w:val="24"/>
          <w:szCs w:val="24"/>
          <w:lang w:eastAsia="el-GR"/>
        </w:rPr>
        <w:t xml:space="preserve"> μειωμένο καταγράφεται το ποσοστό επί του τζίρου των ηλεκτρονικών συναλλαγών που πραγματοποιούν οι επιχειρήσεις. Συγκεκριμένα κατά μέσο όρο το ποσοστό επί του τζίρου των μικρών και πολύ μικρών επιχειρήσεων που γίνονται μέσω ηλεκτρονικών συναλλαγών είναι στο 28,3%, έναντι 36,1% που είχε κ</w:t>
      </w:r>
      <w:r w:rsidR="00221694">
        <w:rPr>
          <w:rFonts w:ascii="Times New Roman" w:eastAsia="Times New Roman" w:hAnsi="Times New Roman" w:cs="Times New Roman"/>
          <w:b/>
          <w:color w:val="222222"/>
          <w:sz w:val="24"/>
          <w:szCs w:val="24"/>
          <w:lang w:eastAsia="el-GR"/>
        </w:rPr>
        <w:t>αταγραφεί στην περυσινή έρευνα. Η</w:t>
      </w:r>
      <w:r w:rsidRPr="00D971D6">
        <w:rPr>
          <w:rFonts w:ascii="Times New Roman" w:eastAsia="Times New Roman" w:hAnsi="Times New Roman" w:cs="Times New Roman"/>
          <w:b/>
          <w:color w:val="222222"/>
          <w:sz w:val="24"/>
          <w:szCs w:val="24"/>
          <w:lang w:eastAsia="el-GR"/>
        </w:rPr>
        <w:t xml:space="preserve"> αδυναμία του κράτους να παρέχει ένα ελάχιστο βαθμό προστασίας από κατασχέσεις δημιουργεί αντικίνητρο τακτικής χρησιμοποίησης των ηλεκτρονικών μέσων πληρωμής. Η θεσμοθέτηση του ηλεκτρονικού ακατάσχετου επαγγελματικού λογαριασμού, που θα εξασφαλίζει προστασία για τις πληρωμές εργαζομένων, προμηθευτών, ενοικίων και λοιπών λειτουργικών εξόδων, θα δημιουργήσει το </w:t>
      </w:r>
      <w:r w:rsidRPr="00D971D6">
        <w:rPr>
          <w:rFonts w:ascii="Times New Roman" w:eastAsia="Times New Roman" w:hAnsi="Times New Roman" w:cs="Times New Roman"/>
          <w:b/>
          <w:color w:val="222222"/>
          <w:sz w:val="24"/>
          <w:szCs w:val="24"/>
          <w:lang w:eastAsia="el-GR"/>
        </w:rPr>
        <w:lastRenderedPageBreak/>
        <w:t>κατάλληλο περιβάλλον για την εύρυθμη λειτουργία της επιχείρησης και τη βελτίωση των επιχειρηματικών πρακτικών στο πεδίο αυτό</w:t>
      </w:r>
      <w:r w:rsidR="001A7E61" w:rsidRPr="00D971D6">
        <w:rPr>
          <w:rFonts w:ascii="Times New Roman" w:eastAsia="Times New Roman" w:hAnsi="Times New Roman" w:cs="Times New Roman"/>
          <w:b/>
          <w:color w:val="222222"/>
          <w:sz w:val="24"/>
          <w:szCs w:val="24"/>
          <w:lang w:eastAsia="el-GR"/>
        </w:rPr>
        <w:t>.</w:t>
      </w:r>
    </w:p>
    <w:p w:rsidR="00221694" w:rsidRDefault="00221694" w:rsidP="00C05DEF">
      <w:pPr>
        <w:spacing w:after="0" w:line="360" w:lineRule="auto"/>
        <w:rPr>
          <w:rFonts w:ascii="Times New Roman" w:hAnsi="Times New Roman" w:cs="Times New Roman"/>
          <w:b/>
          <w:sz w:val="24"/>
          <w:szCs w:val="24"/>
        </w:rPr>
      </w:pPr>
    </w:p>
    <w:p w:rsidR="00255CE9" w:rsidRPr="00A958F9" w:rsidRDefault="00255CE9" w:rsidP="00C05DEF">
      <w:pPr>
        <w:spacing w:after="0" w:line="360" w:lineRule="auto"/>
        <w:rPr>
          <w:rFonts w:ascii="Arial" w:eastAsia="Times New Roman" w:hAnsi="Arial" w:cs="Arial"/>
          <w:color w:val="222222"/>
          <w:sz w:val="24"/>
          <w:szCs w:val="24"/>
          <w:lang w:eastAsia="el-GR"/>
        </w:rPr>
      </w:pPr>
      <w:r w:rsidRPr="00C05DEF">
        <w:rPr>
          <w:rFonts w:ascii="Times New Roman" w:hAnsi="Times New Roman" w:cs="Times New Roman"/>
          <w:b/>
          <w:sz w:val="24"/>
          <w:szCs w:val="24"/>
        </w:rPr>
        <w:t>Γ. ΑΠΑΣΧΟΛΗΣΗ – ΑΓΟΡΑ ΕΡΓΑΣΙΑΣ</w:t>
      </w:r>
    </w:p>
    <w:p w:rsidR="00255CE9" w:rsidRPr="00C05DEF" w:rsidRDefault="00255CE9" w:rsidP="00C05DEF">
      <w:pPr>
        <w:spacing w:after="0" w:line="360" w:lineRule="auto"/>
        <w:rPr>
          <w:rFonts w:ascii="Times New Roman" w:hAnsi="Times New Roman" w:cs="Times New Roman"/>
          <w:b/>
          <w:sz w:val="24"/>
          <w:szCs w:val="24"/>
        </w:rPr>
      </w:pPr>
    </w:p>
    <w:p w:rsidR="005A5623" w:rsidRPr="00C05DEF" w:rsidRDefault="00267413" w:rsidP="00C05DEF">
      <w:pPr>
        <w:pStyle w:val="a5"/>
        <w:numPr>
          <w:ilvl w:val="0"/>
          <w:numId w:val="4"/>
        </w:num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
          <w:sz w:val="24"/>
          <w:szCs w:val="24"/>
        </w:rPr>
      </w:pPr>
      <w:r w:rsidRPr="00C05DEF">
        <w:rPr>
          <w:rFonts w:ascii="Times New Roman" w:hAnsi="Times New Roman" w:cs="Times New Roman"/>
          <w:b/>
          <w:sz w:val="24"/>
          <w:szCs w:val="24"/>
        </w:rPr>
        <w:t>Η σταδιακή αποκλιμάκωση της</w:t>
      </w:r>
      <w:r w:rsidR="005A5623" w:rsidRPr="00C05DEF">
        <w:rPr>
          <w:rFonts w:ascii="Times New Roman" w:hAnsi="Times New Roman" w:cs="Times New Roman"/>
          <w:b/>
          <w:sz w:val="24"/>
          <w:szCs w:val="24"/>
        </w:rPr>
        <w:t xml:space="preserve"> ανεργίας που αποτυπώνονται στα επίσημα στοιχεία της ΕΛΣΤΑΤ (</w:t>
      </w:r>
      <w:r w:rsidRPr="00C05DEF">
        <w:rPr>
          <w:rFonts w:ascii="Times New Roman" w:hAnsi="Times New Roman" w:cs="Times New Roman"/>
          <w:b/>
          <w:sz w:val="24"/>
          <w:szCs w:val="24"/>
        </w:rPr>
        <w:t>17,2% - Μάιος  2019</w:t>
      </w:r>
      <w:r w:rsidR="005A5623" w:rsidRPr="00C05DEF">
        <w:rPr>
          <w:rFonts w:ascii="Times New Roman" w:hAnsi="Times New Roman" w:cs="Times New Roman"/>
          <w:b/>
          <w:sz w:val="24"/>
          <w:szCs w:val="24"/>
        </w:rPr>
        <w:t>) καταγράφ</w:t>
      </w:r>
      <w:r w:rsidRPr="00C05DEF">
        <w:rPr>
          <w:rFonts w:ascii="Times New Roman" w:hAnsi="Times New Roman" w:cs="Times New Roman"/>
          <w:b/>
          <w:sz w:val="24"/>
          <w:szCs w:val="24"/>
        </w:rPr>
        <w:t>εται</w:t>
      </w:r>
      <w:r w:rsidR="005A5623" w:rsidRPr="00C05DEF">
        <w:rPr>
          <w:rFonts w:ascii="Times New Roman" w:hAnsi="Times New Roman" w:cs="Times New Roman"/>
          <w:b/>
          <w:sz w:val="24"/>
          <w:szCs w:val="24"/>
        </w:rPr>
        <w:t xml:space="preserve"> και στην αποτίμηση της έρευνας κλίματος του ΙΜΕ ΓΣΕΒΕΕ για την απασχόληση όπου </w:t>
      </w:r>
      <w:r w:rsidRPr="00C05DEF">
        <w:rPr>
          <w:rFonts w:ascii="Times New Roman" w:hAnsi="Times New Roman" w:cs="Times New Roman"/>
          <w:b/>
          <w:sz w:val="24"/>
          <w:szCs w:val="24"/>
        </w:rPr>
        <w:t>οι ε</w:t>
      </w:r>
      <w:r w:rsidR="001A7E61" w:rsidRPr="00C05DEF">
        <w:rPr>
          <w:rFonts w:ascii="Times New Roman" w:hAnsi="Times New Roman" w:cs="Times New Roman"/>
          <w:b/>
          <w:sz w:val="24"/>
          <w:szCs w:val="24"/>
        </w:rPr>
        <w:t>πιχειρήσεις που προσέλαβαν προσω</w:t>
      </w:r>
      <w:r w:rsidRPr="00C05DEF">
        <w:rPr>
          <w:rFonts w:ascii="Times New Roman" w:hAnsi="Times New Roman" w:cs="Times New Roman"/>
          <w:b/>
          <w:sz w:val="24"/>
          <w:szCs w:val="24"/>
        </w:rPr>
        <w:t xml:space="preserve">πικό είναι περισσότερες από εκείνες που απέλυσαν </w:t>
      </w:r>
      <w:r w:rsidR="005A5623" w:rsidRPr="00C05DEF">
        <w:rPr>
          <w:rFonts w:ascii="Times New Roman" w:hAnsi="Times New Roman" w:cs="Times New Roman"/>
          <w:b/>
          <w:sz w:val="24"/>
          <w:szCs w:val="24"/>
        </w:rPr>
        <w:t>(</w:t>
      </w:r>
      <w:r w:rsidRPr="00C05DEF">
        <w:rPr>
          <w:rFonts w:ascii="Times New Roman" w:hAnsi="Times New Roman" w:cs="Times New Roman"/>
          <w:b/>
          <w:sz w:val="24"/>
          <w:szCs w:val="24"/>
        </w:rPr>
        <w:t>9,9</w:t>
      </w:r>
      <w:r w:rsidR="005A5623" w:rsidRPr="00C05DEF">
        <w:rPr>
          <w:rFonts w:ascii="Times New Roman" w:hAnsi="Times New Roman" w:cs="Times New Roman"/>
          <w:b/>
          <w:sz w:val="24"/>
          <w:szCs w:val="24"/>
        </w:rPr>
        <w:t xml:space="preserve">% έναντι </w:t>
      </w:r>
      <w:r w:rsidRPr="00C05DEF">
        <w:rPr>
          <w:rFonts w:ascii="Times New Roman" w:hAnsi="Times New Roman" w:cs="Times New Roman"/>
          <w:b/>
          <w:sz w:val="24"/>
          <w:szCs w:val="24"/>
        </w:rPr>
        <w:t>5,8</w:t>
      </w:r>
      <w:r w:rsidR="005A5623" w:rsidRPr="00C05DEF">
        <w:rPr>
          <w:rFonts w:ascii="Times New Roman" w:hAnsi="Times New Roman" w:cs="Times New Roman"/>
          <w:b/>
          <w:sz w:val="24"/>
          <w:szCs w:val="24"/>
        </w:rPr>
        <w:t xml:space="preserve">%). </w:t>
      </w:r>
    </w:p>
    <w:p w:rsidR="00C05DEF" w:rsidRPr="00C05DEF" w:rsidRDefault="00267413" w:rsidP="00C05DEF">
      <w:pPr>
        <w:pStyle w:val="a5"/>
        <w:numPr>
          <w:ilvl w:val="0"/>
          <w:numId w:val="4"/>
        </w:num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
          <w:sz w:val="24"/>
          <w:szCs w:val="24"/>
        </w:rPr>
      </w:pPr>
      <w:r w:rsidRPr="00C05DEF">
        <w:rPr>
          <w:rFonts w:ascii="Times New Roman" w:hAnsi="Times New Roman" w:cs="Times New Roman"/>
          <w:b/>
          <w:sz w:val="24"/>
          <w:szCs w:val="24"/>
        </w:rPr>
        <w:t>Οι προοπτικές για το επόμενο εξάμηνο καταγράφουν για</w:t>
      </w:r>
      <w:r w:rsidR="001A7E61" w:rsidRPr="00C05DEF">
        <w:rPr>
          <w:rFonts w:ascii="Times New Roman" w:hAnsi="Times New Roman" w:cs="Times New Roman"/>
          <w:b/>
          <w:sz w:val="24"/>
          <w:szCs w:val="24"/>
        </w:rPr>
        <w:t xml:space="preserve"> πρώτη φορά σε σχετικό εξάμηνο έ</w:t>
      </w:r>
      <w:r w:rsidRPr="00C05DEF">
        <w:rPr>
          <w:rFonts w:ascii="Times New Roman" w:hAnsi="Times New Roman" w:cs="Times New Roman"/>
          <w:b/>
          <w:sz w:val="24"/>
          <w:szCs w:val="24"/>
        </w:rPr>
        <w:t>ρευνα</w:t>
      </w:r>
      <w:r w:rsidR="001A7E61" w:rsidRPr="00C05DEF">
        <w:rPr>
          <w:rFonts w:ascii="Times New Roman" w:hAnsi="Times New Roman" w:cs="Times New Roman"/>
          <w:b/>
          <w:sz w:val="24"/>
          <w:szCs w:val="24"/>
        </w:rPr>
        <w:t>ς</w:t>
      </w:r>
      <w:r w:rsidRPr="00C05DEF">
        <w:rPr>
          <w:rFonts w:ascii="Times New Roman" w:hAnsi="Times New Roman" w:cs="Times New Roman"/>
          <w:b/>
          <w:sz w:val="24"/>
          <w:szCs w:val="24"/>
        </w:rPr>
        <w:t xml:space="preserve"> κλίματος του ΙΜΕ ΓΣΕΒΕΕ θετικό ισοζύγιο καθώς οι επιχειρήσεις που δηλώνουν ότι θα προσλάβουν προσωπικό είναι π</w:t>
      </w:r>
      <w:r w:rsidR="001A7E61" w:rsidRPr="00C05DEF">
        <w:rPr>
          <w:rFonts w:ascii="Times New Roman" w:hAnsi="Times New Roman" w:cs="Times New Roman"/>
          <w:b/>
          <w:sz w:val="24"/>
          <w:szCs w:val="24"/>
        </w:rPr>
        <w:t>ερισσότερες από εκείνες που δηλώ</w:t>
      </w:r>
      <w:r w:rsidRPr="00C05DEF">
        <w:rPr>
          <w:rFonts w:ascii="Times New Roman" w:hAnsi="Times New Roman" w:cs="Times New Roman"/>
          <w:b/>
          <w:sz w:val="24"/>
          <w:szCs w:val="24"/>
        </w:rPr>
        <w:t>νουν πως θα απολύσουν (7,9% έναντι 7,7%).</w:t>
      </w:r>
    </w:p>
    <w:p w:rsidR="00255CE9" w:rsidRPr="00C05DEF" w:rsidRDefault="005A5623" w:rsidP="00C05DEF">
      <w:pPr>
        <w:pStyle w:val="a5"/>
        <w:numPr>
          <w:ilvl w:val="0"/>
          <w:numId w:val="4"/>
        </w:num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
          <w:sz w:val="24"/>
          <w:szCs w:val="24"/>
        </w:rPr>
      </w:pPr>
      <w:r w:rsidRPr="00C05DEF">
        <w:rPr>
          <w:rFonts w:ascii="Times New Roman" w:hAnsi="Times New Roman" w:cs="Times New Roman"/>
          <w:b/>
          <w:sz w:val="24"/>
          <w:szCs w:val="24"/>
        </w:rPr>
        <w:t xml:space="preserve">Και σε αυτή την έρευνα του ΙΜΕ ΓΣΕΒΕΕ επαληθεύονται τα ευρήματα των προηγούμενων ερευνών αλλά και επίσημων </w:t>
      </w:r>
      <w:r w:rsidR="00267413" w:rsidRPr="00C05DEF">
        <w:rPr>
          <w:rFonts w:ascii="Times New Roman" w:hAnsi="Times New Roman" w:cs="Times New Roman"/>
          <w:b/>
          <w:sz w:val="24"/>
          <w:szCs w:val="24"/>
        </w:rPr>
        <w:t>στοιχείων</w:t>
      </w:r>
      <w:r w:rsidRPr="00C05DEF">
        <w:rPr>
          <w:rFonts w:ascii="Times New Roman" w:hAnsi="Times New Roman" w:cs="Times New Roman"/>
          <w:b/>
          <w:sz w:val="24"/>
          <w:szCs w:val="24"/>
        </w:rPr>
        <w:t xml:space="preserve"> (Μηνιαία Δελτία ΕΡΓΑΝΗ) για την ύπαρξη υψηλού ποσοστού ευέλικτων μορφών απασχό</w:t>
      </w:r>
      <w:r w:rsidR="00221694">
        <w:rPr>
          <w:rFonts w:ascii="Times New Roman" w:hAnsi="Times New Roman" w:cs="Times New Roman"/>
          <w:b/>
          <w:sz w:val="24"/>
          <w:szCs w:val="24"/>
        </w:rPr>
        <w:t>λησης.</w:t>
      </w:r>
      <w:r w:rsidRPr="00C05DEF">
        <w:rPr>
          <w:rFonts w:ascii="Times New Roman" w:hAnsi="Times New Roman" w:cs="Times New Roman"/>
          <w:b/>
          <w:sz w:val="24"/>
          <w:szCs w:val="24"/>
        </w:rPr>
        <w:t xml:space="preserve"> </w:t>
      </w:r>
      <w:r w:rsidR="0076447B" w:rsidRPr="00C05DEF">
        <w:rPr>
          <w:rFonts w:ascii="Times New Roman" w:hAnsi="Times New Roman" w:cs="Times New Roman"/>
          <w:b/>
          <w:sz w:val="24"/>
          <w:szCs w:val="24"/>
        </w:rPr>
        <w:t xml:space="preserve">Περίπου 4 στις 10 </w:t>
      </w:r>
      <w:r w:rsidR="001A7E61" w:rsidRPr="00C05DEF">
        <w:rPr>
          <w:rFonts w:ascii="Times New Roman" w:hAnsi="Times New Roman" w:cs="Times New Roman"/>
          <w:b/>
          <w:sz w:val="24"/>
          <w:szCs w:val="24"/>
        </w:rPr>
        <w:t>επιχειρήσεις που απασχολού</w:t>
      </w:r>
      <w:r w:rsidR="0076447B" w:rsidRPr="00C05DEF">
        <w:rPr>
          <w:rFonts w:ascii="Times New Roman" w:hAnsi="Times New Roman" w:cs="Times New Roman"/>
          <w:b/>
          <w:sz w:val="24"/>
          <w:szCs w:val="24"/>
        </w:rPr>
        <w:t>ν προσωπικό (38,5%) είναι με ευ</w:t>
      </w:r>
      <w:r w:rsidR="001A7E61" w:rsidRPr="00C05DEF">
        <w:rPr>
          <w:rFonts w:ascii="Times New Roman" w:hAnsi="Times New Roman" w:cs="Times New Roman"/>
          <w:b/>
          <w:sz w:val="24"/>
          <w:szCs w:val="24"/>
        </w:rPr>
        <w:t>έ</w:t>
      </w:r>
      <w:r w:rsidR="0076447B" w:rsidRPr="00C05DEF">
        <w:rPr>
          <w:rFonts w:ascii="Times New Roman" w:hAnsi="Times New Roman" w:cs="Times New Roman"/>
          <w:b/>
          <w:sz w:val="24"/>
          <w:szCs w:val="24"/>
        </w:rPr>
        <w:t>λικτες μορφές απασχόλησης, ενώ περίπου 3 στις 10 από τις επιχειρήσεις που προτίθενται να προσλάβουν πρ</w:t>
      </w:r>
      <w:r w:rsidR="001A7E61" w:rsidRPr="00C05DEF">
        <w:rPr>
          <w:rFonts w:ascii="Times New Roman" w:hAnsi="Times New Roman" w:cs="Times New Roman"/>
          <w:b/>
          <w:sz w:val="24"/>
          <w:szCs w:val="24"/>
        </w:rPr>
        <w:t>οσωπικό το επόμενο διαστημα δηλώ</w:t>
      </w:r>
      <w:r w:rsidR="0076447B" w:rsidRPr="00C05DEF">
        <w:rPr>
          <w:rFonts w:ascii="Times New Roman" w:hAnsi="Times New Roman" w:cs="Times New Roman"/>
          <w:b/>
          <w:sz w:val="24"/>
          <w:szCs w:val="24"/>
        </w:rPr>
        <w:t>νουν πως θα είναι</w:t>
      </w:r>
      <w:r w:rsidR="00C05DEF" w:rsidRPr="00C05DEF">
        <w:rPr>
          <w:rFonts w:ascii="Times New Roman" w:hAnsi="Times New Roman" w:cs="Times New Roman"/>
          <w:b/>
          <w:sz w:val="24"/>
          <w:szCs w:val="24"/>
        </w:rPr>
        <w:t xml:space="preserve"> με καθεστώς μερικής απασχόλησης.</w:t>
      </w:r>
      <w:r w:rsidRPr="00C05DEF">
        <w:rPr>
          <w:rFonts w:ascii="Times New Roman" w:hAnsi="Times New Roman" w:cs="Times New Roman"/>
          <w:b/>
          <w:sz w:val="24"/>
          <w:szCs w:val="24"/>
        </w:rPr>
        <w:t xml:space="preserve"> </w:t>
      </w:r>
      <w:r w:rsidR="00073096" w:rsidRPr="00C05DEF">
        <w:rPr>
          <w:rFonts w:ascii="Times New Roman" w:hAnsi="Times New Roman" w:cs="Times New Roman"/>
          <w:b/>
          <w:sz w:val="24"/>
          <w:szCs w:val="24"/>
        </w:rPr>
        <w:t xml:space="preserve"> </w:t>
      </w:r>
    </w:p>
    <w:p w:rsidR="00C05DEF" w:rsidRDefault="00C05DEF" w:rsidP="00255CE9">
      <w:pPr>
        <w:rPr>
          <w:rFonts w:ascii="Arial Black" w:hAnsi="Arial Black"/>
        </w:rPr>
      </w:pPr>
    </w:p>
    <w:p w:rsidR="00255CE9" w:rsidRDefault="00255CE9" w:rsidP="00C05DEF">
      <w:pPr>
        <w:spacing w:after="0" w:line="360" w:lineRule="auto"/>
        <w:rPr>
          <w:rFonts w:ascii="Times New Roman" w:hAnsi="Times New Roman" w:cs="Times New Roman"/>
          <w:b/>
          <w:sz w:val="24"/>
          <w:szCs w:val="24"/>
        </w:rPr>
      </w:pPr>
      <w:r w:rsidRPr="00C05DEF">
        <w:rPr>
          <w:rFonts w:ascii="Times New Roman" w:hAnsi="Times New Roman" w:cs="Times New Roman"/>
          <w:b/>
          <w:sz w:val="24"/>
          <w:szCs w:val="24"/>
        </w:rPr>
        <w:t xml:space="preserve">Δ.ΥΠΟΧΡΕΩΣΕΙΣ - ΟΦΕΙΛΕΣ ΕΠΙΧΕΙΡΗΣΕΩΝ </w:t>
      </w:r>
    </w:p>
    <w:p w:rsidR="00C05DEF" w:rsidRPr="00C05DEF" w:rsidRDefault="00C05DEF" w:rsidP="00C05DEF">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b/>
          <w:sz w:val="24"/>
          <w:szCs w:val="24"/>
        </w:rPr>
      </w:pPr>
    </w:p>
    <w:p w:rsidR="005D5955" w:rsidRPr="00C05DEF" w:rsidRDefault="005D5955" w:rsidP="00C05DEF">
      <w:pPr>
        <w:pStyle w:val="a5"/>
        <w:numPr>
          <w:ilvl w:val="0"/>
          <w:numId w:val="16"/>
        </w:numPr>
        <w:pBdr>
          <w:top w:val="single" w:sz="4" w:space="1" w:color="auto"/>
          <w:left w:val="single" w:sz="4" w:space="4" w:color="auto"/>
          <w:bottom w:val="single" w:sz="4" w:space="1" w:color="auto"/>
          <w:right w:val="single" w:sz="4" w:space="4" w:color="auto"/>
        </w:pBdr>
        <w:shd w:val="clear" w:color="auto" w:fill="FFFFFF"/>
        <w:spacing w:after="0" w:line="360" w:lineRule="auto"/>
        <w:jc w:val="both"/>
        <w:rPr>
          <w:rFonts w:ascii="Times New Roman" w:eastAsia="Times New Roman" w:hAnsi="Times New Roman" w:cs="Times New Roman"/>
          <w:b/>
          <w:color w:val="222222"/>
          <w:sz w:val="24"/>
          <w:szCs w:val="24"/>
          <w:lang w:eastAsia="el-GR"/>
        </w:rPr>
      </w:pPr>
      <w:r w:rsidRPr="00C05DEF">
        <w:rPr>
          <w:rFonts w:ascii="Times New Roman" w:eastAsia="Times New Roman" w:hAnsi="Times New Roman" w:cs="Times New Roman"/>
          <w:b/>
          <w:color w:val="222222"/>
          <w:sz w:val="24"/>
          <w:szCs w:val="24"/>
          <w:lang w:eastAsia="el-GR"/>
        </w:rPr>
        <w:t>Υψηλό παραμένει το ποσοστό των επιχειρήσεων (35,2%) που έχει κάποιου είδους ληξιπρόθεσμη οφειλή προς το Δημόσιο και τις τράπεζες. </w:t>
      </w:r>
    </w:p>
    <w:p w:rsidR="005D5955" w:rsidRPr="00C05DEF" w:rsidRDefault="005D5955" w:rsidP="00C05DEF">
      <w:pPr>
        <w:pStyle w:val="a5"/>
        <w:numPr>
          <w:ilvl w:val="0"/>
          <w:numId w:val="16"/>
        </w:numPr>
        <w:pBdr>
          <w:top w:val="single" w:sz="4" w:space="1" w:color="auto"/>
          <w:left w:val="single" w:sz="4" w:space="4" w:color="auto"/>
          <w:bottom w:val="single" w:sz="4" w:space="1" w:color="auto"/>
          <w:right w:val="single" w:sz="4" w:space="4" w:color="auto"/>
        </w:pBdr>
        <w:shd w:val="clear" w:color="auto" w:fill="FFFFFF"/>
        <w:spacing w:after="0" w:line="360" w:lineRule="auto"/>
        <w:jc w:val="both"/>
        <w:rPr>
          <w:rFonts w:ascii="Times New Roman" w:eastAsia="Times New Roman" w:hAnsi="Times New Roman" w:cs="Times New Roman"/>
          <w:b/>
          <w:color w:val="222222"/>
          <w:sz w:val="24"/>
          <w:szCs w:val="24"/>
          <w:lang w:eastAsia="el-GR"/>
        </w:rPr>
      </w:pPr>
      <w:r w:rsidRPr="00C05DEF">
        <w:rPr>
          <w:rFonts w:ascii="Times New Roman" w:eastAsia="Times New Roman" w:hAnsi="Times New Roman" w:cs="Times New Roman"/>
          <w:b/>
          <w:color w:val="222222"/>
          <w:sz w:val="24"/>
          <w:szCs w:val="24"/>
          <w:lang w:eastAsia="el-GR"/>
        </w:rPr>
        <w:t>Σταθερά υψηλότερο είναι το ποσοστό των επιχειρήσεων με καθυστερημένες οφειλές προς το πρώην ασφαλιστικό ταμείο των επαγγελματιών (22,1%). Το 21% των ερωτηθέντων έχει καθυστερημένες οφειλές προς την εφορία (21%), το 11,4% προς το πρώην ΙΚΑ και το 14,9% προς τις τράπεζες. Το 33,1% των επιχειρήσεων που έχουν κάποιου είδους ληξιπρόθεσμη οφειλή προς το Δημόσιο δήλωσε πως έχει ενταχθεί στις νέες ρυθμίσεις, το 27,9% δήλωσε πως έχει υπαχθεί σε άλλη ρύθμιση (πάγια), ενώ το 35,3% δήλωσε πως δεν έχει </w:t>
      </w:r>
      <w:r w:rsidR="00D971D6" w:rsidRPr="00C05DEF">
        <w:rPr>
          <w:rFonts w:ascii="Times New Roman" w:eastAsia="Times New Roman" w:hAnsi="Times New Roman" w:cs="Times New Roman"/>
          <w:b/>
          <w:color w:val="222222"/>
          <w:sz w:val="24"/>
          <w:szCs w:val="24"/>
          <w:lang w:eastAsia="el-GR"/>
        </w:rPr>
        <w:t>ρυθμίσει ακόμα τις οφειλές του</w:t>
      </w:r>
      <w:r w:rsidRPr="00C05DEF">
        <w:rPr>
          <w:rFonts w:ascii="Times New Roman" w:eastAsia="Times New Roman" w:hAnsi="Times New Roman" w:cs="Times New Roman"/>
          <w:b/>
          <w:color w:val="222222"/>
          <w:sz w:val="24"/>
          <w:szCs w:val="24"/>
          <w:lang w:eastAsia="el-GR"/>
        </w:rPr>
        <w:t>.</w:t>
      </w:r>
    </w:p>
    <w:p w:rsidR="005D5955" w:rsidRPr="00C05DEF" w:rsidRDefault="005D5955" w:rsidP="00C05DEF">
      <w:pPr>
        <w:pStyle w:val="a5"/>
        <w:numPr>
          <w:ilvl w:val="0"/>
          <w:numId w:val="16"/>
        </w:numPr>
        <w:pBdr>
          <w:top w:val="single" w:sz="4" w:space="1" w:color="auto"/>
          <w:left w:val="single" w:sz="4" w:space="4" w:color="auto"/>
          <w:bottom w:val="single" w:sz="4" w:space="1" w:color="auto"/>
          <w:right w:val="single" w:sz="4" w:space="4" w:color="auto"/>
        </w:pBdr>
        <w:shd w:val="clear" w:color="auto" w:fill="FFFFFF"/>
        <w:spacing w:after="0" w:line="360" w:lineRule="auto"/>
        <w:jc w:val="both"/>
        <w:rPr>
          <w:rFonts w:ascii="Times New Roman" w:eastAsia="Times New Roman" w:hAnsi="Times New Roman" w:cs="Times New Roman"/>
          <w:b/>
          <w:color w:val="222222"/>
          <w:sz w:val="24"/>
          <w:szCs w:val="24"/>
          <w:lang w:eastAsia="el-GR"/>
        </w:rPr>
      </w:pPr>
      <w:r w:rsidRPr="00C05DEF">
        <w:rPr>
          <w:rFonts w:ascii="Times New Roman" w:eastAsia="Times New Roman" w:hAnsi="Times New Roman" w:cs="Times New Roman"/>
          <w:b/>
          <w:color w:val="222222"/>
          <w:sz w:val="24"/>
          <w:szCs w:val="24"/>
          <w:lang w:eastAsia="el-GR"/>
        </w:rPr>
        <w:t>Γενικά τα ευρήματα της έρευνας και ως προς τις οφειλές των επιχειρήσεων παρουσιάζουν τα καλύτερα </w:t>
      </w:r>
      <w:r w:rsidR="00D971D6" w:rsidRPr="00C05DEF">
        <w:rPr>
          <w:rFonts w:ascii="Times New Roman" w:eastAsia="Times New Roman" w:hAnsi="Times New Roman" w:cs="Times New Roman"/>
          <w:b/>
          <w:color w:val="222222"/>
          <w:sz w:val="24"/>
          <w:szCs w:val="24"/>
          <w:lang w:eastAsia="el-GR"/>
        </w:rPr>
        <w:t>στοιχεία</w:t>
      </w:r>
      <w:r w:rsidRPr="00C05DEF">
        <w:rPr>
          <w:rFonts w:ascii="Times New Roman" w:eastAsia="Times New Roman" w:hAnsi="Times New Roman" w:cs="Times New Roman"/>
          <w:b/>
          <w:color w:val="222222"/>
          <w:sz w:val="24"/>
          <w:szCs w:val="24"/>
          <w:lang w:eastAsia="el-GR"/>
        </w:rPr>
        <w:t xml:space="preserve"> από τότε που ξεκίνησε το ΙΜΕ ΓΣΕΒΕΕ να μετρά συστηματικά </w:t>
      </w:r>
      <w:r w:rsidRPr="00C05DEF">
        <w:rPr>
          <w:rFonts w:ascii="Times New Roman" w:eastAsia="Times New Roman" w:hAnsi="Times New Roman" w:cs="Times New Roman"/>
          <w:b/>
          <w:color w:val="222222"/>
          <w:sz w:val="24"/>
          <w:szCs w:val="24"/>
          <w:lang w:eastAsia="el-GR"/>
        </w:rPr>
        <w:lastRenderedPageBreak/>
        <w:t>τις οφειλές των επιχειρήσεων. Είναι προφανές πως οι πρόσφατες ασφαλιστικές και φορολογικές ρυθμίσεις που  θεσμοθετήθηκαν από την προηγούμενη κυβέρνηση και βελτιώθηκαν κυρίως ως προς τα φορολογικά από την υφιστάμενη έχουν σημαντική συμβολή στην βελτίωση που καταγράφεται.</w:t>
      </w:r>
    </w:p>
    <w:p w:rsidR="005D5955" w:rsidRPr="00320245" w:rsidRDefault="005D5955" w:rsidP="00320245">
      <w:pPr>
        <w:pStyle w:val="a5"/>
        <w:numPr>
          <w:ilvl w:val="0"/>
          <w:numId w:val="16"/>
        </w:numPr>
        <w:pBdr>
          <w:top w:val="single" w:sz="4" w:space="1" w:color="auto"/>
          <w:left w:val="single" w:sz="4" w:space="4" w:color="auto"/>
          <w:bottom w:val="single" w:sz="4" w:space="1" w:color="auto"/>
          <w:right w:val="single" w:sz="4" w:space="4" w:color="auto"/>
        </w:pBdr>
        <w:shd w:val="clear" w:color="auto" w:fill="FFFFFF"/>
        <w:spacing w:after="0" w:line="360" w:lineRule="auto"/>
        <w:jc w:val="both"/>
        <w:rPr>
          <w:rFonts w:ascii="Times New Roman" w:eastAsia="Times New Roman" w:hAnsi="Times New Roman" w:cs="Times New Roman"/>
          <w:b/>
          <w:color w:val="222222"/>
          <w:sz w:val="24"/>
          <w:szCs w:val="24"/>
          <w:lang w:eastAsia="el-GR"/>
        </w:rPr>
      </w:pPr>
      <w:r w:rsidRPr="00C05DEF">
        <w:rPr>
          <w:rFonts w:ascii="Times New Roman" w:eastAsia="Times New Roman" w:hAnsi="Times New Roman" w:cs="Times New Roman"/>
          <w:b/>
          <w:color w:val="222222"/>
          <w:sz w:val="24"/>
          <w:szCs w:val="24"/>
          <w:lang w:eastAsia="el-GR"/>
        </w:rPr>
        <w:t>Αυτό γίνεται περισσότερο εμφανές από τις προβλέψεις των επιχειρήσεων ως προς τις υποχρεώσεις τους. Συγκεκριμένα το 80,4% των ερωτηθέντων δηλών</w:t>
      </w:r>
      <w:r w:rsidR="00320245">
        <w:rPr>
          <w:rFonts w:ascii="Times New Roman" w:eastAsia="Times New Roman" w:hAnsi="Times New Roman" w:cs="Times New Roman"/>
          <w:b/>
          <w:color w:val="222222"/>
          <w:sz w:val="24"/>
          <w:szCs w:val="24"/>
          <w:lang w:eastAsia="el-GR"/>
        </w:rPr>
        <w:t>ει</w:t>
      </w:r>
      <w:r w:rsidRPr="00C05DEF">
        <w:rPr>
          <w:rFonts w:ascii="Times New Roman" w:eastAsia="Times New Roman" w:hAnsi="Times New Roman" w:cs="Times New Roman"/>
          <w:b/>
          <w:color w:val="222222"/>
          <w:sz w:val="24"/>
          <w:szCs w:val="24"/>
          <w:lang w:eastAsia="el-GR"/>
        </w:rPr>
        <w:t> πως θα μπορέσ</w:t>
      </w:r>
      <w:r w:rsidR="00320245">
        <w:rPr>
          <w:rFonts w:ascii="Times New Roman" w:eastAsia="Times New Roman" w:hAnsi="Times New Roman" w:cs="Times New Roman"/>
          <w:b/>
          <w:color w:val="222222"/>
          <w:sz w:val="24"/>
          <w:szCs w:val="24"/>
          <w:lang w:eastAsia="el-GR"/>
        </w:rPr>
        <w:t>ει να ανταποκριθεί στις φορολογικές του</w:t>
      </w:r>
      <w:r w:rsidRPr="00C05DEF">
        <w:rPr>
          <w:rFonts w:ascii="Times New Roman" w:eastAsia="Times New Roman" w:hAnsi="Times New Roman" w:cs="Times New Roman"/>
          <w:b/>
          <w:color w:val="222222"/>
          <w:sz w:val="24"/>
          <w:szCs w:val="24"/>
          <w:lang w:eastAsia="el-GR"/>
        </w:rPr>
        <w:t xml:space="preserve"> υποχρεώσεις , έναντι μόλι</w:t>
      </w:r>
      <w:r w:rsidR="00C92675">
        <w:rPr>
          <w:rFonts w:ascii="Times New Roman" w:eastAsia="Times New Roman" w:hAnsi="Times New Roman" w:cs="Times New Roman"/>
          <w:b/>
          <w:color w:val="222222"/>
          <w:sz w:val="24"/>
          <w:szCs w:val="24"/>
          <w:lang w:eastAsia="el-GR"/>
        </w:rPr>
        <w:t>ς 12,5% που δηλών</w:t>
      </w:r>
      <w:r w:rsidR="00320245">
        <w:rPr>
          <w:rFonts w:ascii="Times New Roman" w:eastAsia="Times New Roman" w:hAnsi="Times New Roman" w:cs="Times New Roman"/>
          <w:b/>
          <w:color w:val="222222"/>
          <w:sz w:val="24"/>
          <w:szCs w:val="24"/>
          <w:lang w:eastAsia="el-GR"/>
        </w:rPr>
        <w:t>ει</w:t>
      </w:r>
      <w:r w:rsidR="00C92675">
        <w:rPr>
          <w:rFonts w:ascii="Times New Roman" w:eastAsia="Times New Roman" w:hAnsi="Times New Roman" w:cs="Times New Roman"/>
          <w:b/>
          <w:color w:val="222222"/>
          <w:sz w:val="24"/>
          <w:szCs w:val="24"/>
          <w:lang w:eastAsia="el-GR"/>
        </w:rPr>
        <w:t xml:space="preserve"> πως δεν θα </w:t>
      </w:r>
      <w:r w:rsidRPr="00C05DEF">
        <w:rPr>
          <w:rFonts w:ascii="Times New Roman" w:eastAsia="Times New Roman" w:hAnsi="Times New Roman" w:cs="Times New Roman"/>
          <w:b/>
          <w:color w:val="222222"/>
          <w:sz w:val="24"/>
          <w:szCs w:val="24"/>
          <w:lang w:eastAsia="el-GR"/>
        </w:rPr>
        <w:t>μπορέ</w:t>
      </w:r>
      <w:r w:rsidR="00C92675">
        <w:rPr>
          <w:rFonts w:ascii="Times New Roman" w:eastAsia="Times New Roman" w:hAnsi="Times New Roman" w:cs="Times New Roman"/>
          <w:b/>
          <w:color w:val="222222"/>
          <w:sz w:val="24"/>
          <w:szCs w:val="24"/>
          <w:lang w:eastAsia="el-GR"/>
        </w:rPr>
        <w:t>σ</w:t>
      </w:r>
      <w:r w:rsidR="00320245">
        <w:rPr>
          <w:rFonts w:ascii="Times New Roman" w:eastAsia="Times New Roman" w:hAnsi="Times New Roman" w:cs="Times New Roman"/>
          <w:b/>
          <w:color w:val="222222"/>
          <w:sz w:val="24"/>
          <w:szCs w:val="24"/>
          <w:lang w:eastAsia="el-GR"/>
        </w:rPr>
        <w:t xml:space="preserve">ει. Αντίστοιχα είναι </w:t>
      </w:r>
      <w:r w:rsidR="00C92675">
        <w:rPr>
          <w:rFonts w:ascii="Times New Roman" w:eastAsia="Times New Roman" w:hAnsi="Times New Roman" w:cs="Times New Roman"/>
          <w:b/>
          <w:color w:val="222222"/>
          <w:sz w:val="24"/>
          <w:szCs w:val="24"/>
          <w:lang w:eastAsia="el-GR"/>
        </w:rPr>
        <w:t xml:space="preserve">και τα ποσοστά </w:t>
      </w:r>
      <w:r w:rsidRPr="00C05DEF">
        <w:rPr>
          <w:rFonts w:ascii="Times New Roman" w:eastAsia="Times New Roman" w:hAnsi="Times New Roman" w:cs="Times New Roman"/>
          <w:b/>
          <w:color w:val="222222"/>
          <w:sz w:val="24"/>
          <w:szCs w:val="24"/>
          <w:lang w:eastAsia="el-GR"/>
        </w:rPr>
        <w:t>των επιχειρήσεων σχετικά με</w:t>
      </w:r>
      <w:r w:rsidRPr="00320245">
        <w:rPr>
          <w:rFonts w:ascii="Times New Roman" w:eastAsia="Times New Roman" w:hAnsi="Times New Roman" w:cs="Times New Roman"/>
          <w:b/>
          <w:color w:val="222222"/>
          <w:sz w:val="24"/>
          <w:szCs w:val="24"/>
          <w:lang w:eastAsia="el-GR"/>
        </w:rPr>
        <w:t xml:space="preserve"> την πρόβλεψη ανταπόκρισης στις ασφαλιστικές υποχρεώσεις (80,4% και 12,9% αντίστοιχα).</w:t>
      </w:r>
    </w:p>
    <w:p w:rsidR="005D5955" w:rsidRPr="00C05DEF" w:rsidRDefault="005D5955" w:rsidP="00C05DEF">
      <w:pPr>
        <w:pStyle w:val="a5"/>
        <w:numPr>
          <w:ilvl w:val="0"/>
          <w:numId w:val="16"/>
        </w:numPr>
        <w:pBdr>
          <w:top w:val="single" w:sz="4" w:space="1" w:color="auto"/>
          <w:left w:val="single" w:sz="4" w:space="4" w:color="auto"/>
          <w:bottom w:val="single" w:sz="4" w:space="1" w:color="auto"/>
          <w:right w:val="single" w:sz="4" w:space="4" w:color="auto"/>
        </w:pBdr>
        <w:shd w:val="clear" w:color="auto" w:fill="FFFFFF"/>
        <w:spacing w:after="0" w:line="360" w:lineRule="auto"/>
        <w:jc w:val="both"/>
        <w:rPr>
          <w:rFonts w:ascii="Times New Roman" w:eastAsia="Times New Roman" w:hAnsi="Times New Roman" w:cs="Times New Roman"/>
          <w:b/>
          <w:color w:val="222222"/>
          <w:sz w:val="24"/>
          <w:szCs w:val="24"/>
          <w:lang w:eastAsia="el-GR"/>
        </w:rPr>
      </w:pPr>
      <w:r w:rsidRPr="00C05DEF">
        <w:rPr>
          <w:rFonts w:ascii="Times New Roman" w:eastAsia="Times New Roman" w:hAnsi="Times New Roman" w:cs="Times New Roman"/>
          <w:b/>
          <w:color w:val="222222"/>
          <w:sz w:val="24"/>
          <w:szCs w:val="24"/>
          <w:lang w:eastAsia="el-GR"/>
        </w:rPr>
        <w:t>Ωστόσο θα πρέπει να σημειωθεί ότι το 14,4% των επιχειρήσεων έχει ταυτόχρονα και ασφαλιστικές και φορολογικές οφειλές. Δεδομένου ότι όπως τουλάχιστον έχει τονίσει η κυβέρνηση οι υφιστάμενες ευνοϊκές ασφαλιστικές και φο</w:t>
      </w:r>
      <w:r w:rsidR="00C92675">
        <w:rPr>
          <w:rFonts w:ascii="Times New Roman" w:eastAsia="Times New Roman" w:hAnsi="Times New Roman" w:cs="Times New Roman"/>
          <w:b/>
          <w:color w:val="222222"/>
          <w:sz w:val="24"/>
          <w:szCs w:val="24"/>
          <w:lang w:eastAsia="el-GR"/>
        </w:rPr>
        <w:t>ρολογικές ρυθμίσεις θα είναι</w:t>
      </w:r>
      <w:r w:rsidRPr="00C05DEF">
        <w:rPr>
          <w:rFonts w:ascii="Times New Roman" w:eastAsia="Times New Roman" w:hAnsi="Times New Roman" w:cs="Times New Roman"/>
          <w:b/>
          <w:color w:val="222222"/>
          <w:sz w:val="24"/>
          <w:szCs w:val="24"/>
          <w:lang w:eastAsia="el-GR"/>
        </w:rPr>
        <w:t xml:space="preserve"> οι τελευταίες θα πρέπει να επαναπροσδιοριστούν οι πάγιες ρυθμίσεις ώστε να ανταποκρίνονται περισσότερο στην πραγματικότητα. Άλλωστε τα συνολικά ληξιπρόθεσμα χρέη νοικοκυριών και επιχειρήσεων προς την εφορία, τα ασφαλιστικά ταμεία και τις τράπεζες που υπερβαίνουν τα 230 δισ. €</w:t>
      </w:r>
      <w:r w:rsidR="00C92675">
        <w:rPr>
          <w:rFonts w:ascii="Times New Roman" w:eastAsia="Times New Roman" w:hAnsi="Times New Roman" w:cs="Times New Roman"/>
          <w:b/>
          <w:color w:val="222222"/>
          <w:sz w:val="24"/>
          <w:szCs w:val="24"/>
          <w:lang w:eastAsia="el-GR"/>
        </w:rPr>
        <w:t xml:space="preserve"> </w:t>
      </w:r>
      <w:r w:rsidRPr="00C05DEF">
        <w:rPr>
          <w:rFonts w:ascii="Times New Roman" w:eastAsia="Times New Roman" w:hAnsi="Times New Roman" w:cs="Times New Roman"/>
          <w:b/>
          <w:color w:val="222222"/>
          <w:sz w:val="24"/>
          <w:szCs w:val="24"/>
          <w:lang w:eastAsia="el-GR"/>
        </w:rPr>
        <w:t>(104 δισ. στην εφορία, 32 δισ. στο ΚΕΑΟ και 96 δισ. € στις τράπεζες), και παραμένουν σε εξαιρετικά υψηλά επίπεδα</w:t>
      </w:r>
      <w:r w:rsidR="00C92675">
        <w:rPr>
          <w:rFonts w:ascii="Times New Roman" w:eastAsia="Times New Roman" w:hAnsi="Times New Roman" w:cs="Times New Roman"/>
          <w:b/>
          <w:color w:val="222222"/>
          <w:sz w:val="24"/>
          <w:szCs w:val="24"/>
          <w:lang w:eastAsia="el-GR"/>
        </w:rPr>
        <w:t>,</w:t>
      </w:r>
      <w:r w:rsidRPr="00C05DEF">
        <w:rPr>
          <w:rFonts w:ascii="Times New Roman" w:eastAsia="Times New Roman" w:hAnsi="Times New Roman" w:cs="Times New Roman"/>
          <w:b/>
          <w:color w:val="222222"/>
          <w:sz w:val="24"/>
          <w:szCs w:val="24"/>
          <w:lang w:eastAsia="el-GR"/>
        </w:rPr>
        <w:t xml:space="preserve"> είναι αποτέλεσμα κυρίως της πολιτικής εσωτερικής υποτίμησης, δηλαδή της μείωσης των εισοδημάτων χωρίς αντίστοιχη μείωση των φορολογικών ή/και δανειακών υποχρεώσεων και θα πρέπει να αντιμετωπίστούν στην βάση αυτής της παραδοχής. Ότι δηλαδή η εκτίναξη του ιδιωτικού χρέους ήταν αποτέλεσμα κυρίως αδυναμίας πληρωμής μέσα σε ένα ιδιαίτερα περιοριστικό οικονομικό περιβάλλον.</w:t>
      </w:r>
    </w:p>
    <w:p w:rsidR="005D5955" w:rsidRPr="00C05DEF" w:rsidRDefault="005D5955" w:rsidP="00C05DEF">
      <w:pPr>
        <w:pStyle w:val="a5"/>
        <w:numPr>
          <w:ilvl w:val="0"/>
          <w:numId w:val="16"/>
        </w:numPr>
        <w:pBdr>
          <w:top w:val="single" w:sz="4" w:space="1" w:color="auto"/>
          <w:left w:val="single" w:sz="4" w:space="4" w:color="auto"/>
          <w:bottom w:val="single" w:sz="4" w:space="1" w:color="auto"/>
          <w:right w:val="single" w:sz="4" w:space="4" w:color="auto"/>
        </w:pBdr>
        <w:shd w:val="clear" w:color="auto" w:fill="FFFFFF"/>
        <w:spacing w:after="0" w:line="360" w:lineRule="auto"/>
        <w:jc w:val="both"/>
        <w:rPr>
          <w:rFonts w:ascii="Times New Roman" w:eastAsia="Times New Roman" w:hAnsi="Times New Roman" w:cs="Times New Roman"/>
          <w:b/>
          <w:color w:val="222222"/>
          <w:sz w:val="24"/>
          <w:szCs w:val="24"/>
          <w:lang w:eastAsia="el-GR"/>
        </w:rPr>
      </w:pPr>
      <w:r w:rsidRPr="00C05DEF">
        <w:rPr>
          <w:rFonts w:ascii="Times New Roman" w:eastAsia="Times New Roman" w:hAnsi="Times New Roman" w:cs="Times New Roman"/>
          <w:b/>
          <w:color w:val="222222"/>
          <w:sz w:val="24"/>
          <w:szCs w:val="24"/>
          <w:lang w:eastAsia="el-GR"/>
        </w:rPr>
        <w:t>Περίπου 3 στις 10 επιχειρήσεις (28,7%) έχουν δάνεια προς τράπεζες. Από αυτές 1 στις 2 περίπου (51,1%) έχει καθυστερημένες οφειλές, ένας δηλαδή σταθερά υψηλός αριθμός επιχειρήσεων.</w:t>
      </w:r>
    </w:p>
    <w:p w:rsidR="00C05DEF" w:rsidRPr="00C05DEF" w:rsidRDefault="005D5955" w:rsidP="00C05DEF">
      <w:pPr>
        <w:pStyle w:val="a5"/>
        <w:numPr>
          <w:ilvl w:val="0"/>
          <w:numId w:val="16"/>
        </w:numPr>
        <w:pBdr>
          <w:top w:val="single" w:sz="4" w:space="1" w:color="auto"/>
          <w:left w:val="single" w:sz="4" w:space="4" w:color="auto"/>
          <w:bottom w:val="single" w:sz="4" w:space="1" w:color="auto"/>
          <w:right w:val="single" w:sz="4" w:space="4" w:color="auto"/>
        </w:pBdr>
        <w:shd w:val="clear" w:color="auto" w:fill="FFFFFF"/>
        <w:spacing w:after="0" w:line="360" w:lineRule="auto"/>
        <w:jc w:val="both"/>
        <w:rPr>
          <w:rFonts w:ascii="Times New Roman" w:eastAsia="Times New Roman" w:hAnsi="Times New Roman" w:cs="Times New Roman"/>
          <w:b/>
          <w:color w:val="222222"/>
          <w:sz w:val="24"/>
          <w:szCs w:val="24"/>
          <w:lang w:eastAsia="el-GR"/>
        </w:rPr>
      </w:pPr>
      <w:r w:rsidRPr="00C05DEF">
        <w:rPr>
          <w:rFonts w:ascii="Times New Roman" w:eastAsia="Times New Roman" w:hAnsi="Times New Roman" w:cs="Times New Roman"/>
          <w:b/>
          <w:color w:val="222222"/>
          <w:sz w:val="24"/>
          <w:szCs w:val="24"/>
          <w:lang w:val="en-US" w:eastAsia="el-GR"/>
        </w:rPr>
        <w:t>To</w:t>
      </w:r>
      <w:r w:rsidRPr="00C05DEF">
        <w:rPr>
          <w:rFonts w:ascii="Times New Roman" w:eastAsia="Times New Roman" w:hAnsi="Times New Roman" w:cs="Times New Roman"/>
          <w:b/>
          <w:color w:val="222222"/>
          <w:sz w:val="24"/>
          <w:szCs w:val="24"/>
          <w:lang w:eastAsia="el-GR"/>
        </w:rPr>
        <w:t xml:space="preserve"> 8.9% των ερωτηθέντων ή περίπου 74.000 μικρές και πολύ μικρές επιχειρήσεις δηλώνουν ότι έχουν βρεθεί αντιμέτωπες το προηγούμενο εξάμηνο με κατάσχεση/ ή δέσμευση λογαριασμών για οφειλές. </w:t>
      </w:r>
    </w:p>
    <w:p w:rsidR="005D5955" w:rsidRPr="00C05DEF" w:rsidRDefault="005D5955" w:rsidP="00C05DEF">
      <w:pPr>
        <w:pStyle w:val="a5"/>
        <w:numPr>
          <w:ilvl w:val="0"/>
          <w:numId w:val="16"/>
        </w:numPr>
        <w:pBdr>
          <w:top w:val="single" w:sz="4" w:space="1" w:color="auto"/>
          <w:left w:val="single" w:sz="4" w:space="4" w:color="auto"/>
          <w:bottom w:val="single" w:sz="4" w:space="1" w:color="auto"/>
          <w:right w:val="single" w:sz="4" w:space="4" w:color="auto"/>
        </w:pBdr>
        <w:shd w:val="clear" w:color="auto" w:fill="FFFFFF"/>
        <w:spacing w:after="0" w:line="360" w:lineRule="auto"/>
        <w:jc w:val="both"/>
        <w:rPr>
          <w:rFonts w:ascii="Times New Roman" w:eastAsia="Times New Roman" w:hAnsi="Times New Roman" w:cs="Times New Roman"/>
          <w:b/>
          <w:color w:val="222222"/>
          <w:sz w:val="24"/>
          <w:szCs w:val="24"/>
          <w:lang w:eastAsia="el-GR"/>
        </w:rPr>
      </w:pPr>
      <w:r w:rsidRPr="00C05DEF">
        <w:rPr>
          <w:rFonts w:ascii="Times New Roman" w:eastAsia="Times New Roman" w:hAnsi="Times New Roman" w:cs="Times New Roman"/>
          <w:b/>
          <w:color w:val="222222"/>
          <w:sz w:val="24"/>
          <w:szCs w:val="24"/>
          <w:lang w:eastAsia="el-GR"/>
        </w:rPr>
        <w:t>Μειωμένες καταγράφονται οι οφειλές των επιχειρήσεων προς τον ιδιωτικό τομέα, καθώς εκείνοι που δηλώνουν ότι καθυστερούν να καταβάλλουν οφειλές σε προμηθευτές, σε ενοίκια και στις πρώην ΔΕΚΟ είναι αντίστοιχα στο 16,1%, 12% και 17%. Παρόλο που τα ποσοστά είναι μειωμένα σε σχέση με όλες τις προηγούμενες έρευνες του ΙΜΕ ΓΣΕΒΕΕ παραμένουν σημαντικά υψηλά που σε ένα βαθμό αντανακλά την περιορισμένη πρόσβαση ιδίως των πολύ μικρών επιχειρήσεων σε κεφάλαια και πιστώσεις.</w:t>
      </w:r>
    </w:p>
    <w:p w:rsidR="005D5955" w:rsidRPr="00C05DEF" w:rsidRDefault="005D5955" w:rsidP="00C05DEF">
      <w:pPr>
        <w:pStyle w:val="a5"/>
        <w:numPr>
          <w:ilvl w:val="0"/>
          <w:numId w:val="16"/>
        </w:numPr>
        <w:pBdr>
          <w:top w:val="single" w:sz="4" w:space="1" w:color="auto"/>
          <w:left w:val="single" w:sz="4" w:space="4" w:color="auto"/>
          <w:bottom w:val="single" w:sz="4" w:space="1" w:color="auto"/>
          <w:right w:val="single" w:sz="4" w:space="4" w:color="auto"/>
        </w:pBdr>
        <w:shd w:val="clear" w:color="auto" w:fill="FFFFFF"/>
        <w:spacing w:after="0" w:line="360" w:lineRule="auto"/>
        <w:jc w:val="both"/>
        <w:rPr>
          <w:rFonts w:ascii="Times New Roman" w:eastAsia="Times New Roman" w:hAnsi="Times New Roman" w:cs="Times New Roman"/>
          <w:b/>
          <w:color w:val="222222"/>
          <w:sz w:val="24"/>
          <w:szCs w:val="24"/>
          <w:lang w:eastAsia="el-GR"/>
        </w:rPr>
      </w:pPr>
      <w:r w:rsidRPr="00C05DEF">
        <w:rPr>
          <w:rFonts w:ascii="Times New Roman" w:eastAsia="Times New Roman" w:hAnsi="Times New Roman" w:cs="Times New Roman"/>
          <w:b/>
          <w:color w:val="222222"/>
          <w:sz w:val="24"/>
          <w:szCs w:val="24"/>
          <w:lang w:eastAsia="el-GR"/>
        </w:rPr>
        <w:lastRenderedPageBreak/>
        <w:t>Τα μεγαλύτερα π</w:t>
      </w:r>
      <w:r w:rsidR="00C92675">
        <w:rPr>
          <w:rFonts w:ascii="Times New Roman" w:eastAsia="Times New Roman" w:hAnsi="Times New Roman" w:cs="Times New Roman"/>
          <w:b/>
          <w:color w:val="222222"/>
          <w:sz w:val="24"/>
          <w:szCs w:val="24"/>
          <w:lang w:eastAsia="el-GR"/>
        </w:rPr>
        <w:t>ροβλήματα υπερχρέωσης αντιμετωπί</w:t>
      </w:r>
      <w:r w:rsidRPr="00C05DEF">
        <w:rPr>
          <w:rFonts w:ascii="Times New Roman" w:eastAsia="Times New Roman" w:hAnsi="Times New Roman" w:cs="Times New Roman"/>
          <w:b/>
          <w:color w:val="222222"/>
          <w:sz w:val="24"/>
          <w:szCs w:val="24"/>
          <w:lang w:eastAsia="el-GR"/>
        </w:rPr>
        <w:t>ζουν κυρίως οι επιχειρήσεις χωρίς προσωπικό και εκείνες με τζίρο έως 50.000 €, δηλαδή οι μικρότερες επιχειρήσεις.</w:t>
      </w:r>
    </w:p>
    <w:p w:rsidR="005D5955" w:rsidRPr="005D5955" w:rsidRDefault="005D5955" w:rsidP="005D5955">
      <w:pPr>
        <w:shd w:val="clear" w:color="auto" w:fill="FFFFFF"/>
        <w:spacing w:line="253" w:lineRule="atLeast"/>
        <w:jc w:val="both"/>
        <w:rPr>
          <w:rFonts w:ascii="Calibri" w:eastAsia="Times New Roman" w:hAnsi="Calibri" w:cs="Times New Roman"/>
          <w:color w:val="222222"/>
          <w:lang w:eastAsia="el-GR"/>
        </w:rPr>
      </w:pPr>
      <w:r w:rsidRPr="005D5955">
        <w:rPr>
          <w:rFonts w:ascii="Arial Black" w:eastAsia="Times New Roman" w:hAnsi="Arial Black" w:cs="Times New Roman"/>
          <w:color w:val="222222"/>
          <w:lang w:eastAsia="el-GR"/>
        </w:rPr>
        <w:t> </w:t>
      </w:r>
    </w:p>
    <w:p w:rsidR="00255CE9" w:rsidRDefault="00255CE9" w:rsidP="00C05DEF">
      <w:pPr>
        <w:spacing w:after="0" w:line="360" w:lineRule="auto"/>
        <w:rPr>
          <w:rFonts w:ascii="Times New Roman" w:hAnsi="Times New Roman" w:cs="Times New Roman"/>
          <w:b/>
          <w:sz w:val="24"/>
          <w:szCs w:val="24"/>
        </w:rPr>
      </w:pPr>
      <w:r w:rsidRPr="00C05DEF">
        <w:rPr>
          <w:rFonts w:ascii="Times New Roman" w:hAnsi="Times New Roman" w:cs="Times New Roman"/>
          <w:b/>
          <w:sz w:val="24"/>
          <w:szCs w:val="24"/>
        </w:rPr>
        <w:t xml:space="preserve">Ε. ΕΠΙΧΕΙΡΗΜΑΤΙΚΗ ΔΡΑΣΤΗΡΙΟΤΗΤΑ </w:t>
      </w:r>
    </w:p>
    <w:p w:rsidR="00C05DEF" w:rsidRPr="00C05DEF" w:rsidRDefault="00C05DEF" w:rsidP="00C05DEF">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b/>
          <w:sz w:val="24"/>
          <w:szCs w:val="24"/>
        </w:rPr>
      </w:pPr>
    </w:p>
    <w:p w:rsidR="00506738" w:rsidRPr="00C05DEF" w:rsidRDefault="00506738" w:rsidP="00C05DEF">
      <w:pPr>
        <w:pStyle w:val="gmail-msolistparagraph"/>
        <w:numPr>
          <w:ilvl w:val="0"/>
          <w:numId w:val="17"/>
        </w:num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360" w:lineRule="auto"/>
        <w:jc w:val="both"/>
        <w:rPr>
          <w:b/>
          <w:color w:val="222222"/>
        </w:rPr>
      </w:pPr>
      <w:r w:rsidRPr="00C05DEF">
        <w:rPr>
          <w:b/>
          <w:color w:val="222222"/>
        </w:rPr>
        <w:t>Παρά την επιβράδυνση στην οικονομική δραστηριότητα που καταγράφεται για το Α εξάμηνο του 2019 το θετικό ισοζύγιο εγγραφών – διαγραφών επιχειρήσεων συνεχίζεται για πέμπτο συνεχόμενο εξάμηνο. Σύμφωνα με τα στοιχεία του ΓΕΜΗ το ισοζύγιο εγγραφών – διαγραφών επιχειρήσεων για το Α’ εξάμηνο του 2019 ήταν θετικό κατά 11.126 επιχειρήσεις.</w:t>
      </w:r>
    </w:p>
    <w:p w:rsidR="00506738" w:rsidRPr="00C05DEF" w:rsidRDefault="00506738" w:rsidP="00C05DEF">
      <w:pPr>
        <w:pStyle w:val="gmail-msolistparagraph"/>
        <w:numPr>
          <w:ilvl w:val="0"/>
          <w:numId w:val="17"/>
        </w:num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360" w:lineRule="auto"/>
        <w:jc w:val="both"/>
        <w:rPr>
          <w:b/>
          <w:color w:val="222222"/>
        </w:rPr>
      </w:pPr>
      <w:r w:rsidRPr="00C05DEF">
        <w:rPr>
          <w:b/>
          <w:color w:val="222222"/>
        </w:rPr>
        <w:t>Τα στοιχεία αυτά επιβεβαιώνονται και από τα ευρήματα της έρευνας του ΙΜΕ ΓΣΕΒΕΕ όπου ο δείκτης βιωσιμότητας των μικρών και πολύ μικρών επιχειρήσεων βρίσκεται στις 91 μονάδες, αυξημένος κατά 3  σε σχέση με το αντίστοιχο διάστημα του 2009 (88) και αυξημένος κατά 25 μονάδες σε σχέση με το αντίστοιχο διάστημα του 2012 (66) όπου οι επιχειρήσεις που έκλεινα</w:t>
      </w:r>
      <w:r w:rsidR="00C92675">
        <w:rPr>
          <w:b/>
          <w:color w:val="222222"/>
        </w:rPr>
        <w:t>ν</w:t>
      </w:r>
      <w:r w:rsidRPr="00C05DEF">
        <w:rPr>
          <w:b/>
          <w:color w:val="222222"/>
        </w:rPr>
        <w:t> ήταν πολλαπλάσιες σε σχέση με εκείνες που άνοιγαν. Ωστόσο</w:t>
      </w:r>
      <w:r w:rsidR="00C92675">
        <w:rPr>
          <w:b/>
          <w:color w:val="222222"/>
        </w:rPr>
        <w:t>,</w:t>
      </w:r>
      <w:r w:rsidRPr="00C05DEF">
        <w:rPr>
          <w:b/>
          <w:color w:val="222222"/>
        </w:rPr>
        <w:t xml:space="preserve"> αν και αρκετά μειωμένος</w:t>
      </w:r>
      <w:r w:rsidR="00C92675">
        <w:rPr>
          <w:b/>
          <w:color w:val="222222"/>
        </w:rPr>
        <w:t>,</w:t>
      </w:r>
      <w:r w:rsidRPr="00C05DEF">
        <w:rPr>
          <w:b/>
          <w:color w:val="222222"/>
        </w:rPr>
        <w:t xml:space="preserve"> βρισκόμενος μάλιστα στο χαμηλότερο επίπεδο των τελευταίων 9 ετών , ο δείκτης ανασφάλειας και φόβου για την πορεία της επιχείρησης διατηρεί υψηλές τιμές. Το 24,1% των επιχειρήσεων θεωρεί αρκετά και πολύ πιθανό να κλείσει το επόμενο διάστημα (έναντι 34 % του προηγούμενου εξαμήνου και 31,4% της αντίστοιχης έρευνας του Ιουλίου του 2018).</w:t>
      </w:r>
    </w:p>
    <w:p w:rsidR="00506738" w:rsidRPr="00C05DEF" w:rsidRDefault="00506738" w:rsidP="00C05DEF">
      <w:pPr>
        <w:pStyle w:val="gmail-msolistparagraph"/>
        <w:numPr>
          <w:ilvl w:val="0"/>
          <w:numId w:val="17"/>
        </w:num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360" w:lineRule="auto"/>
        <w:jc w:val="both"/>
        <w:rPr>
          <w:b/>
          <w:color w:val="222222"/>
        </w:rPr>
      </w:pPr>
      <w:r w:rsidRPr="00C05DEF">
        <w:rPr>
          <w:b/>
          <w:color w:val="222222"/>
        </w:rPr>
        <w:t>Οι υψηλές φορολογικές επιβαρύνσεις, η χαμηλή ζήτηση, η έλλειψη ρευστότητας και χρηματοδότησης θεωρούνται ως τα σημαντικότερα εμπόδια για την άσκηση επιχειρηματικής δραστηριότητας.</w:t>
      </w:r>
    </w:p>
    <w:p w:rsidR="00506738" w:rsidRPr="00C05DEF" w:rsidRDefault="00506738" w:rsidP="00C05DEF">
      <w:pPr>
        <w:pStyle w:val="gmail-msolistparagraph"/>
        <w:numPr>
          <w:ilvl w:val="0"/>
          <w:numId w:val="17"/>
        </w:num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360" w:lineRule="auto"/>
        <w:jc w:val="both"/>
        <w:rPr>
          <w:b/>
          <w:color w:val="222222"/>
        </w:rPr>
      </w:pPr>
      <w:r w:rsidRPr="00C05DEF">
        <w:rPr>
          <w:b/>
          <w:color w:val="222222"/>
        </w:rPr>
        <w:t>Η μείωση της φορολογίας και του ΦΠΑ αποτελούν κατά συντριπτικό ποσοστό (73,8%) το σημαντικότερο εμπόδιο στην επιχειρηματική τους δραστηριότητα.</w:t>
      </w:r>
    </w:p>
    <w:p w:rsidR="00255CE9" w:rsidRPr="00C05DEF" w:rsidRDefault="00255CE9" w:rsidP="00C05DEF">
      <w:pPr>
        <w:spacing w:after="0" w:line="360" w:lineRule="auto"/>
        <w:rPr>
          <w:rFonts w:ascii="Times New Roman" w:hAnsi="Times New Roman" w:cs="Times New Roman"/>
          <w:b/>
          <w:sz w:val="24"/>
          <w:szCs w:val="24"/>
        </w:rPr>
      </w:pPr>
    </w:p>
    <w:p w:rsidR="00F91AB2" w:rsidRPr="00C05DEF" w:rsidRDefault="00F91AB2" w:rsidP="00C05DEF">
      <w:pPr>
        <w:spacing w:after="0" w:line="360" w:lineRule="auto"/>
        <w:rPr>
          <w:rFonts w:ascii="Times New Roman" w:hAnsi="Times New Roman" w:cs="Times New Roman"/>
          <w:b/>
          <w:sz w:val="24"/>
          <w:szCs w:val="24"/>
        </w:rPr>
      </w:pPr>
      <w:r w:rsidRPr="00C05DEF">
        <w:rPr>
          <w:rFonts w:ascii="Times New Roman" w:hAnsi="Times New Roman" w:cs="Times New Roman"/>
          <w:b/>
          <w:sz w:val="24"/>
          <w:szCs w:val="24"/>
        </w:rPr>
        <w:t>ΣΤ. ΕΙΔΙΚΟ ΘΕΜΑ ΜΙΚΡΩΝ ΕΠΙΧΕΙΡΗΣΕΩΝ - ΔΙΑΚΟΠΕΣ</w:t>
      </w:r>
    </w:p>
    <w:p w:rsidR="00506738" w:rsidRPr="00C05DEF" w:rsidRDefault="00506738" w:rsidP="00C05DEF">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
          <w:color w:val="222222"/>
          <w:sz w:val="24"/>
          <w:szCs w:val="24"/>
          <w:shd w:val="clear" w:color="auto" w:fill="FFFFFF"/>
        </w:rPr>
      </w:pPr>
      <w:r w:rsidRPr="00C05DEF">
        <w:rPr>
          <w:rFonts w:ascii="Times New Roman" w:hAnsi="Times New Roman" w:cs="Times New Roman"/>
          <w:b/>
          <w:color w:val="222222"/>
          <w:sz w:val="24"/>
          <w:szCs w:val="24"/>
          <w:shd w:val="clear" w:color="auto" w:fill="FFFFFF"/>
        </w:rPr>
        <w:t>Ελαφρά αυξημένος είναι ο αριθμός των επαγγελματιών σε σχέση με την αντίστοιχη περσινή έρευνα που δήλωσαν ότι θα κάνουν διακοπές. Συγκεκριμένα το 42,2% (34,9% το 2018) δήλωσε ότι θα κάνει διακοπές για τον ίδιο ή και μεγαλύτερο αριθμό ημερών σε σχέση με πέρυσι, ενώ αν και μειωμένο ένα σταθερά υψηλό ποσοστό, συγκεκριμένα το 43,9% (56,3% το 2017)</w:t>
      </w:r>
      <w:r w:rsidR="00C92675">
        <w:rPr>
          <w:rFonts w:ascii="Times New Roman" w:hAnsi="Times New Roman" w:cs="Times New Roman"/>
          <w:b/>
          <w:color w:val="222222"/>
          <w:sz w:val="24"/>
          <w:szCs w:val="24"/>
          <w:shd w:val="clear" w:color="auto" w:fill="FFFFFF"/>
        </w:rPr>
        <w:t>,</w:t>
      </w:r>
      <w:r w:rsidRPr="00C05DEF">
        <w:rPr>
          <w:rFonts w:ascii="Times New Roman" w:hAnsi="Times New Roman" w:cs="Times New Roman"/>
          <w:b/>
          <w:color w:val="222222"/>
          <w:sz w:val="24"/>
          <w:szCs w:val="24"/>
          <w:shd w:val="clear" w:color="auto" w:fill="FFFFFF"/>
        </w:rPr>
        <w:t xml:space="preserve"> δήλωσε ότι δεν θα κάνει διακοπές.</w:t>
      </w:r>
    </w:p>
    <w:p w:rsidR="00506738" w:rsidRDefault="00506738" w:rsidP="00C05DEF">
      <w:pPr>
        <w:pBdr>
          <w:top w:val="single" w:sz="4" w:space="1" w:color="auto"/>
          <w:left w:val="single" w:sz="4" w:space="4" w:color="auto"/>
          <w:bottom w:val="single" w:sz="4" w:space="1" w:color="auto"/>
          <w:right w:val="single" w:sz="4" w:space="4" w:color="auto"/>
        </w:pBdr>
        <w:jc w:val="both"/>
        <w:rPr>
          <w:rFonts w:ascii="Arial Black" w:hAnsi="Arial Black"/>
          <w:color w:val="222222"/>
          <w:shd w:val="clear" w:color="auto" w:fill="FFFFFF"/>
        </w:rPr>
      </w:pPr>
    </w:p>
    <w:p w:rsidR="00127BF9" w:rsidRDefault="00127BF9" w:rsidP="00A958F9">
      <w:pPr>
        <w:spacing w:after="0" w:line="360" w:lineRule="auto"/>
        <w:jc w:val="both"/>
        <w:rPr>
          <w:rFonts w:ascii="Times New Roman" w:hAnsi="Times New Roman" w:cs="Times New Roman"/>
          <w:sz w:val="20"/>
          <w:szCs w:val="20"/>
        </w:rPr>
      </w:pPr>
    </w:p>
    <w:p w:rsidR="00255CE9" w:rsidRPr="00A958F9" w:rsidRDefault="00255CE9" w:rsidP="00A958F9">
      <w:pPr>
        <w:spacing w:after="0" w:line="360" w:lineRule="auto"/>
        <w:jc w:val="both"/>
        <w:rPr>
          <w:rFonts w:ascii="Times New Roman" w:hAnsi="Times New Roman" w:cs="Times New Roman"/>
          <w:sz w:val="20"/>
          <w:szCs w:val="20"/>
        </w:rPr>
      </w:pPr>
      <w:r w:rsidRPr="00A958F9">
        <w:rPr>
          <w:rFonts w:ascii="Times New Roman" w:hAnsi="Times New Roman" w:cs="Times New Roman"/>
          <w:sz w:val="20"/>
          <w:szCs w:val="20"/>
        </w:rPr>
        <w:lastRenderedPageBreak/>
        <w:t xml:space="preserve">* Η έρευνα που παρουσιάζεται είναι η </w:t>
      </w:r>
      <w:r w:rsidR="005941FC" w:rsidRPr="00A958F9">
        <w:rPr>
          <w:rFonts w:ascii="Times New Roman" w:hAnsi="Times New Roman" w:cs="Times New Roman"/>
          <w:sz w:val="20"/>
          <w:szCs w:val="20"/>
        </w:rPr>
        <w:t>δεύτερη</w:t>
      </w:r>
      <w:r w:rsidRPr="00A958F9">
        <w:rPr>
          <w:rFonts w:ascii="Times New Roman" w:hAnsi="Times New Roman" w:cs="Times New Roman"/>
          <w:sz w:val="20"/>
          <w:szCs w:val="20"/>
        </w:rPr>
        <w:t xml:space="preserve"> για το 2019 που διεξάγει το Ινστιτούτο Μικρών Επιχειρήσεων της ΓΣΕΒΕΕ σε συνεργασία με την εταιρία MARC AE σε εξαμηνιαία βάση από τον Μάιο του 2009. Έγινε σε πανελλαδικό δείγμα 806 πολύ μικρών και μικρών επιχειρήσεων (0-49 άτομα προσωπικό), στο διάστημα </w:t>
      </w:r>
      <w:r w:rsidR="005941FC" w:rsidRPr="00A958F9">
        <w:rPr>
          <w:rFonts w:ascii="Times New Roman" w:hAnsi="Times New Roman" w:cs="Times New Roman"/>
          <w:sz w:val="20"/>
          <w:szCs w:val="20"/>
        </w:rPr>
        <w:t>15</w:t>
      </w:r>
      <w:r w:rsidRPr="00A958F9">
        <w:rPr>
          <w:rFonts w:ascii="Times New Roman" w:hAnsi="Times New Roman" w:cs="Times New Roman"/>
          <w:sz w:val="20"/>
          <w:szCs w:val="20"/>
        </w:rPr>
        <w:t xml:space="preserve"> έως </w:t>
      </w:r>
      <w:r w:rsidR="005941FC" w:rsidRPr="00A958F9">
        <w:rPr>
          <w:rFonts w:ascii="Times New Roman" w:hAnsi="Times New Roman" w:cs="Times New Roman"/>
          <w:sz w:val="20"/>
          <w:szCs w:val="20"/>
        </w:rPr>
        <w:t>23</w:t>
      </w:r>
      <w:r w:rsidRPr="00A958F9">
        <w:rPr>
          <w:rFonts w:ascii="Times New Roman" w:hAnsi="Times New Roman" w:cs="Times New Roman"/>
          <w:sz w:val="20"/>
          <w:szCs w:val="20"/>
        </w:rPr>
        <w:t xml:space="preserve"> </w:t>
      </w:r>
      <w:r w:rsidR="005941FC" w:rsidRPr="00A958F9">
        <w:rPr>
          <w:rFonts w:ascii="Times New Roman" w:hAnsi="Times New Roman" w:cs="Times New Roman"/>
          <w:sz w:val="20"/>
          <w:szCs w:val="20"/>
        </w:rPr>
        <w:t>Ιουλίου</w:t>
      </w:r>
      <w:r w:rsidRPr="00A958F9">
        <w:rPr>
          <w:rFonts w:ascii="Times New Roman" w:hAnsi="Times New Roman" w:cs="Times New Roman"/>
          <w:sz w:val="20"/>
          <w:szCs w:val="20"/>
        </w:rPr>
        <w:t xml:space="preserve"> 2019 και έχει ως βασικό στόχο την αποτύπωση του οικονομικού κλίματος στις πολύ μικρές και μικρές επιχειρήσεις, στους κλάδους της μεταποίησης, του εμπορίου και των υπηρεσιών, που αποτελούν το 99,6% των επιχειρήσεων στην Ελλάδα. Τα ευρήματα αυτής της έρευνας μπορούν να συγκριθούν με τα αντίστοιχα των προηγούμενων ερευνών (Μάιος 2009 – </w:t>
      </w:r>
      <w:r w:rsidR="005941FC" w:rsidRPr="00A958F9">
        <w:rPr>
          <w:rFonts w:ascii="Times New Roman" w:hAnsi="Times New Roman" w:cs="Times New Roman"/>
          <w:sz w:val="20"/>
          <w:szCs w:val="20"/>
        </w:rPr>
        <w:t>Φεβρουάριος 2019</w:t>
      </w:r>
      <w:r w:rsidRPr="00A958F9">
        <w:rPr>
          <w:rFonts w:ascii="Times New Roman" w:hAnsi="Times New Roman" w:cs="Times New Roman"/>
          <w:sz w:val="20"/>
          <w:szCs w:val="20"/>
        </w:rPr>
        <w:t xml:space="preserve">). Οι έρευνες αυτές αποτελούν το μοναδικό εργαλείο, σε πανελλαδικό επίπεδο, για την καταγραφή της κατάστασης και της πορείας του μεγαλύτερου τμήματος της πραγματικής οικονομίας στην Ελλάδα. Τα πρωτογενή δεδομένα οικονομικών και επιχειρηματικών προσδοκιών χρησιμοποιούνται από την Ευρωπαϊκή </w:t>
      </w:r>
      <w:r w:rsidR="00320245">
        <w:rPr>
          <w:rFonts w:ascii="Times New Roman" w:hAnsi="Times New Roman" w:cs="Times New Roman"/>
          <w:sz w:val="20"/>
          <w:szCs w:val="20"/>
        </w:rPr>
        <w:t>Συνομοσπονδία</w:t>
      </w:r>
      <w:r w:rsidRPr="00A958F9">
        <w:rPr>
          <w:rFonts w:ascii="Times New Roman" w:hAnsi="Times New Roman" w:cs="Times New Roman"/>
          <w:sz w:val="20"/>
          <w:szCs w:val="20"/>
        </w:rPr>
        <w:t xml:space="preserve"> Μικρομεσαίων Επιχειρήσεων</w:t>
      </w:r>
      <w:r w:rsidR="00320245">
        <w:rPr>
          <w:rFonts w:ascii="Times New Roman" w:hAnsi="Times New Roman" w:cs="Times New Roman"/>
          <w:sz w:val="20"/>
          <w:szCs w:val="20"/>
        </w:rPr>
        <w:t xml:space="preserve"> (</w:t>
      </w:r>
      <w:r w:rsidR="00320245">
        <w:rPr>
          <w:rFonts w:ascii="Times New Roman" w:hAnsi="Times New Roman" w:cs="Times New Roman"/>
          <w:sz w:val="20"/>
          <w:szCs w:val="20"/>
          <w:lang w:val="en-US"/>
        </w:rPr>
        <w:t>SME</w:t>
      </w:r>
      <w:r w:rsidR="00320245" w:rsidRPr="00320245">
        <w:rPr>
          <w:rFonts w:ascii="Times New Roman" w:hAnsi="Times New Roman" w:cs="Times New Roman"/>
          <w:sz w:val="20"/>
          <w:szCs w:val="20"/>
        </w:rPr>
        <w:t xml:space="preserve"> </w:t>
      </w:r>
      <w:r w:rsidR="00320245">
        <w:rPr>
          <w:rFonts w:ascii="Times New Roman" w:hAnsi="Times New Roman" w:cs="Times New Roman"/>
          <w:sz w:val="20"/>
          <w:szCs w:val="20"/>
          <w:lang w:val="en-US"/>
        </w:rPr>
        <w:t>United</w:t>
      </w:r>
      <w:r w:rsidR="00320245" w:rsidRPr="00320245">
        <w:rPr>
          <w:rFonts w:ascii="Times New Roman" w:hAnsi="Times New Roman" w:cs="Times New Roman"/>
          <w:sz w:val="20"/>
          <w:szCs w:val="20"/>
        </w:rPr>
        <w:t>)</w:t>
      </w:r>
      <w:r w:rsidRPr="00A958F9">
        <w:rPr>
          <w:rFonts w:ascii="Times New Roman" w:hAnsi="Times New Roman" w:cs="Times New Roman"/>
          <w:sz w:val="20"/>
          <w:szCs w:val="20"/>
        </w:rPr>
        <w:t xml:space="preserve"> για την κατασκευή των δεικτών ευρωπαϊκού οικονομικού κλίματος και είναι συγκρίσιμα με τα στοιχεία άλλων χωρών της ΕΕ. </w:t>
      </w:r>
    </w:p>
    <w:p w:rsidR="00255CE9" w:rsidRPr="00A958F9" w:rsidRDefault="00255CE9" w:rsidP="00A958F9">
      <w:pPr>
        <w:spacing w:after="0" w:line="360" w:lineRule="auto"/>
        <w:jc w:val="both"/>
        <w:rPr>
          <w:rFonts w:ascii="Times New Roman" w:hAnsi="Times New Roman" w:cs="Times New Roman"/>
          <w:sz w:val="20"/>
          <w:szCs w:val="20"/>
        </w:rPr>
      </w:pPr>
      <w:r w:rsidRPr="00A958F9">
        <w:rPr>
          <w:rFonts w:ascii="Times New Roman" w:hAnsi="Times New Roman" w:cs="Times New Roman"/>
          <w:sz w:val="20"/>
          <w:szCs w:val="20"/>
        </w:rPr>
        <w:t xml:space="preserve">Όπως και στις προηγούμενες έρευνες, έτσι και τώρα, υπάρχει μια σαφής καταγραφή των τάσεων του οικονομικού κλίματος καθώς και η παρακολούθηση των βασικών δεικτών λειτουργίας των μικρών επιχειρήσεων κατά το </w:t>
      </w:r>
      <w:r w:rsidR="005941FC" w:rsidRPr="00A958F9">
        <w:rPr>
          <w:rFonts w:ascii="Times New Roman" w:hAnsi="Times New Roman" w:cs="Times New Roman"/>
          <w:sz w:val="20"/>
          <w:szCs w:val="20"/>
        </w:rPr>
        <w:t>1</w:t>
      </w:r>
      <w:r w:rsidRPr="00A958F9">
        <w:rPr>
          <w:rFonts w:ascii="Times New Roman" w:hAnsi="Times New Roman" w:cs="Times New Roman"/>
          <w:sz w:val="20"/>
          <w:szCs w:val="20"/>
        </w:rPr>
        <w:t>ο εξάμηνο του 201</w:t>
      </w:r>
      <w:r w:rsidR="005941FC" w:rsidRPr="00A958F9">
        <w:rPr>
          <w:rFonts w:ascii="Times New Roman" w:hAnsi="Times New Roman" w:cs="Times New Roman"/>
          <w:sz w:val="20"/>
          <w:szCs w:val="20"/>
        </w:rPr>
        <w:t>9</w:t>
      </w:r>
      <w:r w:rsidRPr="00A958F9">
        <w:rPr>
          <w:rFonts w:ascii="Times New Roman" w:hAnsi="Times New Roman" w:cs="Times New Roman"/>
          <w:sz w:val="20"/>
          <w:szCs w:val="20"/>
        </w:rPr>
        <w:t xml:space="preserve">, ενώ παράλληλα επιχειρείται οικονομική πρόβλεψη για το </w:t>
      </w:r>
      <w:r w:rsidR="005941FC" w:rsidRPr="00A958F9">
        <w:rPr>
          <w:rFonts w:ascii="Times New Roman" w:hAnsi="Times New Roman" w:cs="Times New Roman"/>
          <w:sz w:val="20"/>
          <w:szCs w:val="20"/>
        </w:rPr>
        <w:t>2</w:t>
      </w:r>
      <w:r w:rsidRPr="00A958F9">
        <w:rPr>
          <w:rFonts w:ascii="Times New Roman" w:hAnsi="Times New Roman" w:cs="Times New Roman"/>
          <w:sz w:val="20"/>
          <w:szCs w:val="20"/>
        </w:rPr>
        <w:t>ο εξάμηνο του 2019.</w:t>
      </w:r>
    </w:p>
    <w:p w:rsidR="00255CE9" w:rsidRDefault="00255CE9" w:rsidP="00255CE9"/>
    <w:p w:rsidR="00255CE9" w:rsidRDefault="00255CE9" w:rsidP="00255CE9"/>
    <w:p w:rsidR="00255CE9" w:rsidRDefault="00255CE9" w:rsidP="00255CE9"/>
    <w:p w:rsidR="00255CE9" w:rsidRDefault="00255CE9" w:rsidP="00255CE9"/>
    <w:p w:rsidR="00255CE9" w:rsidRDefault="00255CE9" w:rsidP="00255CE9"/>
    <w:p w:rsidR="00255CE9" w:rsidRDefault="00255CE9" w:rsidP="00255CE9"/>
    <w:p w:rsidR="00255CE9" w:rsidRDefault="00255CE9" w:rsidP="00255CE9"/>
    <w:p w:rsidR="00255CE9" w:rsidRDefault="00255CE9" w:rsidP="00255CE9"/>
    <w:p w:rsidR="00255CE9" w:rsidRDefault="00255CE9" w:rsidP="00255CE9"/>
    <w:p w:rsidR="00255CE9" w:rsidRDefault="00255CE9" w:rsidP="00255CE9"/>
    <w:p w:rsidR="00255CE9" w:rsidRDefault="00255CE9" w:rsidP="00255CE9"/>
    <w:p w:rsidR="00255CE9" w:rsidRDefault="00255CE9" w:rsidP="00255CE9"/>
    <w:p w:rsidR="00255CE9" w:rsidRDefault="00255CE9" w:rsidP="00255CE9"/>
    <w:p w:rsidR="00255CE9" w:rsidRDefault="00255CE9" w:rsidP="00255CE9"/>
    <w:p w:rsidR="00255CE9" w:rsidRDefault="00255CE9" w:rsidP="00255CE9"/>
    <w:p w:rsidR="00255CE9" w:rsidRDefault="00255CE9" w:rsidP="00255CE9"/>
    <w:p w:rsidR="00255CE9" w:rsidRDefault="00255CE9" w:rsidP="00255CE9"/>
    <w:p w:rsidR="00255CE9" w:rsidRDefault="00255CE9" w:rsidP="00255CE9"/>
    <w:p w:rsidR="00C92675" w:rsidRDefault="00C92675" w:rsidP="00255CE9"/>
    <w:p w:rsidR="00C05DEF" w:rsidRDefault="00C05DEF" w:rsidP="005941FC">
      <w:pPr>
        <w:spacing w:after="0" w:line="240" w:lineRule="auto"/>
        <w:jc w:val="both"/>
      </w:pPr>
    </w:p>
    <w:p w:rsidR="005941FC" w:rsidRPr="00127BF9" w:rsidRDefault="005941FC" w:rsidP="00C05DEF">
      <w:pPr>
        <w:spacing w:after="0" w:line="360" w:lineRule="auto"/>
        <w:jc w:val="both"/>
        <w:rPr>
          <w:rFonts w:ascii="Times New Roman" w:eastAsia="Times New Roman" w:hAnsi="Times New Roman" w:cs="Times New Roman"/>
          <w:b/>
          <w:sz w:val="24"/>
          <w:szCs w:val="24"/>
          <w:lang w:eastAsia="el-GR"/>
        </w:rPr>
      </w:pPr>
      <w:r w:rsidRPr="00C05DEF">
        <w:rPr>
          <w:rFonts w:ascii="Times New Roman" w:eastAsia="Times New Roman" w:hAnsi="Times New Roman" w:cs="Times New Roman"/>
          <w:b/>
          <w:color w:val="E36C0A"/>
          <w:sz w:val="24"/>
          <w:szCs w:val="24"/>
          <w:lang w:eastAsia="el-GR"/>
        </w:rPr>
        <w:t>ΑΝΑΛΥΤΙΚΗ ΠΑΡΟΥΣΙΑΣΗ - ΑΠΟΤΕΛΕΣΜΑΤΑ ΕΡΕΥΝΑΣ</w:t>
      </w:r>
      <w:r w:rsidRPr="00C05DEF">
        <w:rPr>
          <w:rFonts w:ascii="Times New Roman" w:eastAsia="Times New Roman" w:hAnsi="Times New Roman" w:cs="Times New Roman"/>
          <w:b/>
          <w:sz w:val="24"/>
          <w:szCs w:val="24"/>
          <w:lang w:eastAsia="el-GR"/>
        </w:rPr>
        <w:t xml:space="preserve"> </w:t>
      </w:r>
      <w:bookmarkStart w:id="1" w:name="_GoBack"/>
      <w:bookmarkEnd w:id="1"/>
    </w:p>
    <w:p w:rsidR="00C05DEF" w:rsidRPr="00C05DEF" w:rsidRDefault="00C05DEF" w:rsidP="00C05DEF">
      <w:pPr>
        <w:pStyle w:val="a5"/>
        <w:numPr>
          <w:ilvl w:val="0"/>
          <w:numId w:val="20"/>
        </w:numPr>
        <w:spacing w:after="0" w:line="360" w:lineRule="auto"/>
        <w:jc w:val="both"/>
        <w:rPr>
          <w:rFonts w:ascii="Times New Roman" w:eastAsia="Times New Roman" w:hAnsi="Times New Roman" w:cs="Times New Roman"/>
          <w:b/>
          <w:sz w:val="24"/>
          <w:szCs w:val="24"/>
          <w:lang w:eastAsia="el-GR"/>
        </w:rPr>
      </w:pPr>
      <w:r w:rsidRPr="00C05DEF">
        <w:rPr>
          <w:rFonts w:ascii="Times New Roman" w:eastAsia="Times New Roman" w:hAnsi="Times New Roman" w:cs="Times New Roman"/>
          <w:b/>
          <w:sz w:val="24"/>
          <w:szCs w:val="24"/>
          <w:lang w:eastAsia="el-GR"/>
        </w:rPr>
        <w:t>ΑΠΟΤΙΜΗΣΗ Α ΕΞΑΜΗΝΟΥ 2019</w:t>
      </w:r>
    </w:p>
    <w:p w:rsidR="004655E7" w:rsidRPr="004655E7" w:rsidRDefault="004655E7" w:rsidP="004655E7">
      <w:pPr>
        <w:spacing w:after="0" w:line="330" w:lineRule="atLeast"/>
        <w:jc w:val="both"/>
        <w:rPr>
          <w:rFonts w:ascii="Calibri" w:eastAsia="Times New Roman" w:hAnsi="Calibri" w:cs="Times New Roman"/>
          <w:color w:val="222222"/>
          <w:lang w:eastAsia="el-GR"/>
        </w:rPr>
      </w:pPr>
      <w:r w:rsidRPr="004655E7">
        <w:rPr>
          <w:rFonts w:ascii="Times New Roman" w:eastAsia="Times New Roman" w:hAnsi="Times New Roman" w:cs="Times New Roman"/>
          <w:color w:val="222222"/>
          <w:sz w:val="24"/>
          <w:szCs w:val="24"/>
          <w:lang w:eastAsia="el-GR"/>
        </w:rPr>
        <w:t>Το Α εξάμηνο του 2019 ως προς την αποτίμηση συνδέεται με την έξοδο της ελληνικής οικονομίας από τα προγράμματα δημοσιονομικής προσαρμογής και ως προς τις προσδοκίες κυρίως με τις πρόσφατες εθνικές εκλογές και την αλλαγή κυβέρνησης. Στο πλαίσιο αυτό και μετά την σημαντική βελτίωση που καταγράφηκε  στο Β εξάμηνο του 2018 ιδίως στους επιμέρους δείκτες της έρευνας οικονομικού κλίματος το</w:t>
      </w:r>
      <w:r w:rsidR="00C92675">
        <w:rPr>
          <w:rFonts w:ascii="Times New Roman" w:eastAsia="Times New Roman" w:hAnsi="Times New Roman" w:cs="Times New Roman"/>
          <w:color w:val="222222"/>
          <w:sz w:val="24"/>
          <w:szCs w:val="24"/>
          <w:lang w:eastAsia="el-GR"/>
        </w:rPr>
        <w:t>υ ΙΜΕ ΓΣΕΒΕΕ, η αποτίμηση του Α</w:t>
      </w:r>
      <w:r w:rsidRPr="004655E7">
        <w:rPr>
          <w:rFonts w:ascii="Times New Roman" w:eastAsia="Times New Roman" w:hAnsi="Times New Roman" w:cs="Times New Roman"/>
          <w:color w:val="222222"/>
          <w:sz w:val="24"/>
          <w:szCs w:val="24"/>
          <w:lang w:eastAsia="el-GR"/>
        </w:rPr>
        <w:t xml:space="preserve"> εξαμήνου του 2019 μετά την ανάλυση των επιμέρους δεικτών ενισχύει κυρίως την υπόθεση της σταθεροποίησης έναντι της σταδιακής ανάκαμψης των μικρομεσαίων επιχειρήσεων. Έτσι ο γενικός δείκτης οικονομικού κλίματος ενισχύεται περαιτέρω, αν και με χαμηλότερη ένταση, σημειώνοντας ιστορικό υψηλό δεκαετίας. Ο γενικός δείκτης οικονομικού κλίματος για τις μικρές και πολύ μικρές επιχειρήσεις του ΙΜΕ ΓΣΕΒΕΕ διαμορφώνεται στις 61,9 μονάδες (έναντι 58,8 μονάδων τον Ιανουάριο του 2019 και  53 μονάδων των Ιούλιο του 2018) συγκλίνοντας περαιτέρω με τον δείκτη του Ευρωπαϊκού Βαρόμετρου για τις ΜΜΕ της SME United (76,6) (Γράφημα 1). Το χάσμα ωστόσο με τις Ευρωπαϊκές ΜμΕ παραμένει μεγάλο, παρόλο που η διαφορά μεταξύ Βορρά και περιφέρειας της ΕΕ έχει συγκλίνει σημαντικά. Επιπλέον ο γενικός δείκτης του Ευρωβαρόμετρου παρουσιάζει μια κάμψη που όπως αναφέρεται στην σχετική έκθεση</w:t>
      </w:r>
      <w:r>
        <w:rPr>
          <w:rStyle w:val="a8"/>
          <w:rFonts w:ascii="Times New Roman" w:eastAsia="Times New Roman" w:hAnsi="Times New Roman" w:cs="Times New Roman"/>
          <w:color w:val="222222"/>
          <w:sz w:val="24"/>
          <w:szCs w:val="24"/>
          <w:lang w:eastAsia="el-GR"/>
        </w:rPr>
        <w:footnoteReference w:id="3"/>
      </w:r>
      <w:r w:rsidRPr="004655E7">
        <w:rPr>
          <w:rFonts w:ascii="Times New Roman" w:eastAsia="Times New Roman" w:hAnsi="Times New Roman" w:cs="Times New Roman"/>
          <w:color w:val="222222"/>
          <w:sz w:val="24"/>
          <w:szCs w:val="24"/>
          <w:lang w:eastAsia="el-GR"/>
        </w:rPr>
        <w:t> πιθανότατα οφείλεται στην ρευστότητα που δημιουργούν τόσο οι διεθνείς εμπορικές διενέξεις όσο και το επικείμενο </w:t>
      </w:r>
      <w:r w:rsidRPr="004655E7">
        <w:rPr>
          <w:rFonts w:ascii="Times New Roman" w:eastAsia="Times New Roman" w:hAnsi="Times New Roman" w:cs="Times New Roman"/>
          <w:color w:val="222222"/>
          <w:sz w:val="24"/>
          <w:szCs w:val="24"/>
          <w:lang w:val="en-US" w:eastAsia="el-GR"/>
        </w:rPr>
        <w:t>Brexit</w:t>
      </w:r>
      <w:r w:rsidRPr="004655E7">
        <w:rPr>
          <w:rFonts w:ascii="Times New Roman" w:eastAsia="Times New Roman" w:hAnsi="Times New Roman" w:cs="Times New Roman"/>
          <w:color w:val="222222"/>
          <w:sz w:val="24"/>
          <w:szCs w:val="24"/>
          <w:lang w:eastAsia="el-GR"/>
        </w:rPr>
        <w:t>.</w:t>
      </w:r>
    </w:p>
    <w:p w:rsidR="004655E7" w:rsidRPr="004655E7" w:rsidRDefault="004655E7" w:rsidP="004655E7">
      <w:pPr>
        <w:spacing w:after="0" w:line="330" w:lineRule="atLeast"/>
        <w:jc w:val="both"/>
        <w:rPr>
          <w:rFonts w:ascii="Calibri" w:eastAsia="Times New Roman" w:hAnsi="Calibri" w:cs="Times New Roman"/>
          <w:color w:val="222222"/>
          <w:lang w:eastAsia="el-GR"/>
        </w:rPr>
      </w:pPr>
      <w:r w:rsidRPr="004655E7">
        <w:rPr>
          <w:rFonts w:ascii="Times New Roman" w:eastAsia="Times New Roman" w:hAnsi="Times New Roman" w:cs="Times New Roman"/>
          <w:color w:val="222222"/>
          <w:sz w:val="24"/>
          <w:szCs w:val="24"/>
          <w:lang w:eastAsia="el-GR"/>
        </w:rPr>
        <w:t>Στην έρευνα κλίματος του ΙΜΕ ΓΣΕΒΕΕ συνεχίζεται να καταγράφεται πτώση των αρνητικών δεικτών και εδραίωση της σταθεροποίησης στις ελληνικές μικρές και πολύ μικρές επιχειρήσεις. Ωστόσο μετά από τις 4 προηγούμενες έρευνες όπου καταγράφηκε κυρίως άνοδος των δεικτών βελτίωσης σε αυτήν την έρευνα παρατηρείται μια επιβράδυνση της οικ</w:t>
      </w:r>
      <w:r w:rsidR="00C92675">
        <w:rPr>
          <w:rFonts w:ascii="Times New Roman" w:eastAsia="Times New Roman" w:hAnsi="Times New Roman" w:cs="Times New Roman"/>
          <w:color w:val="222222"/>
          <w:sz w:val="24"/>
          <w:szCs w:val="24"/>
          <w:lang w:eastAsia="el-GR"/>
        </w:rPr>
        <w:t>ονομικής δραστηριότητας για το Α</w:t>
      </w:r>
      <w:r w:rsidRPr="004655E7">
        <w:rPr>
          <w:rFonts w:ascii="Times New Roman" w:eastAsia="Times New Roman" w:hAnsi="Times New Roman" w:cs="Times New Roman"/>
          <w:color w:val="222222"/>
          <w:sz w:val="24"/>
          <w:szCs w:val="24"/>
          <w:lang w:eastAsia="el-GR"/>
        </w:rPr>
        <w:t xml:space="preserve"> εξάμηνο του 2019 με ενίσχυση κυρίως των δεικτών σταθεροποίησης και πτώση των δεικτών βελτίωσης.</w:t>
      </w:r>
    </w:p>
    <w:p w:rsidR="004655E7" w:rsidRPr="004655E7" w:rsidRDefault="004655E7" w:rsidP="004655E7">
      <w:pPr>
        <w:spacing w:after="0" w:line="330" w:lineRule="atLeast"/>
        <w:jc w:val="both"/>
        <w:rPr>
          <w:rFonts w:ascii="Calibri" w:eastAsia="Times New Roman" w:hAnsi="Calibri" w:cs="Times New Roman"/>
          <w:color w:val="222222"/>
          <w:lang w:eastAsia="el-GR"/>
        </w:rPr>
      </w:pPr>
      <w:r w:rsidRPr="004655E7">
        <w:rPr>
          <w:rFonts w:ascii="Times New Roman" w:eastAsia="Times New Roman" w:hAnsi="Times New Roman" w:cs="Times New Roman"/>
          <w:color w:val="222222"/>
          <w:sz w:val="24"/>
          <w:szCs w:val="24"/>
          <w:lang w:eastAsia="el-GR"/>
        </w:rPr>
        <w:t>Οι μεταποιητικές επιχειρήσεις παρουσιάζουν τις καλύτερες επιδόσεις, σε σχέση με το εμπόριο και τις υπηρεσίες  όπου παρατηρείται μια υστέρηση της τάξεως περίπου των 10 μονάδων σε σύγκριση με την μεταποίηση στον κύκλο εργασιών, την ζήτηση, τις παραγγελίες και την ρευστότητα. Ανάλογη είναι και η εικόνα σε σχέση με την ηλικία και το μέγεθος των επιχειρήσεων. Οι επιχειρήσεις που δημιουργήθηκαν μέσα στην κρίση αλλά και οι μεγαλύτερες με βάση τον τζίρο και των αριθμό εργαζομένων παρουσιάζουν καλύτερες επιδόσεις σε σύγκριση με τις παλαιότερες επιχειρήσεις, τις πολύ μικρές και τις επιχειρήσεις χωρίς προσωπικό. Με άλλα λόγια ο οικονομικός δυισμός που έχει επισημανθεί σε προηγούμενες έρευνες του ΙΜΕ ΓΣΕΒΕΕ ανάμεσα αφενός στις επιχειρήσεις που δημιουργήθηκαν μέσα στην κρίση και σε εκείνες που προϋπήρχαν και αφετέρου ανάμεσα στις μικρότερες και τις μεγαλύτερες επιχειρήσεις συνεχίζει να υφίσταται.</w:t>
      </w:r>
    </w:p>
    <w:p w:rsidR="004655E7" w:rsidRPr="004655E7" w:rsidRDefault="004655E7" w:rsidP="004655E7">
      <w:pPr>
        <w:spacing w:after="0" w:line="240" w:lineRule="auto"/>
        <w:rPr>
          <w:rFonts w:ascii="Arial" w:eastAsia="Times New Roman" w:hAnsi="Arial" w:cs="Arial"/>
          <w:color w:val="222222"/>
          <w:sz w:val="24"/>
          <w:szCs w:val="24"/>
          <w:lang w:eastAsia="el-GR"/>
        </w:rPr>
      </w:pPr>
      <w:r w:rsidRPr="004655E7">
        <w:rPr>
          <w:rFonts w:ascii="Arial" w:eastAsia="Times New Roman" w:hAnsi="Arial" w:cs="Arial"/>
          <w:color w:val="222222"/>
          <w:sz w:val="24"/>
          <w:szCs w:val="24"/>
          <w:lang w:eastAsia="el-GR"/>
        </w:rPr>
        <w:br w:type="textWrapping" w:clear="all"/>
      </w:r>
    </w:p>
    <w:p w:rsidR="004655E7" w:rsidRDefault="004655E7" w:rsidP="00C05DEF">
      <w:pPr>
        <w:tabs>
          <w:tab w:val="left" w:pos="4530"/>
        </w:tabs>
        <w:spacing w:after="0" w:line="360" w:lineRule="auto"/>
        <w:jc w:val="both"/>
        <w:rPr>
          <w:rFonts w:ascii="Times New Roman" w:eastAsia="Times New Roman" w:hAnsi="Times New Roman" w:cs="Times New Roman"/>
          <w:b/>
          <w:bCs/>
          <w:sz w:val="24"/>
          <w:szCs w:val="24"/>
          <w:lang w:eastAsia="el-GR"/>
        </w:rPr>
      </w:pPr>
    </w:p>
    <w:p w:rsidR="004655E7" w:rsidRDefault="004655E7" w:rsidP="00C05DEF">
      <w:pPr>
        <w:tabs>
          <w:tab w:val="left" w:pos="4530"/>
        </w:tabs>
        <w:spacing w:after="0" w:line="360" w:lineRule="auto"/>
        <w:jc w:val="both"/>
        <w:rPr>
          <w:rFonts w:ascii="Times New Roman" w:eastAsia="Times New Roman" w:hAnsi="Times New Roman" w:cs="Times New Roman"/>
          <w:b/>
          <w:bCs/>
          <w:sz w:val="24"/>
          <w:szCs w:val="24"/>
          <w:lang w:eastAsia="el-GR"/>
        </w:rPr>
      </w:pPr>
    </w:p>
    <w:p w:rsidR="004655E7" w:rsidRDefault="004655E7" w:rsidP="00C05DEF">
      <w:pPr>
        <w:tabs>
          <w:tab w:val="left" w:pos="4530"/>
        </w:tabs>
        <w:spacing w:after="0" w:line="360" w:lineRule="auto"/>
        <w:jc w:val="both"/>
        <w:rPr>
          <w:rFonts w:ascii="Times New Roman" w:eastAsia="Times New Roman" w:hAnsi="Times New Roman" w:cs="Times New Roman"/>
          <w:b/>
          <w:bCs/>
          <w:sz w:val="24"/>
          <w:szCs w:val="24"/>
          <w:lang w:eastAsia="el-GR"/>
        </w:rPr>
      </w:pPr>
    </w:p>
    <w:p w:rsidR="004655E7" w:rsidRDefault="004655E7" w:rsidP="00C05DEF">
      <w:pPr>
        <w:tabs>
          <w:tab w:val="left" w:pos="4530"/>
        </w:tabs>
        <w:spacing w:after="0" w:line="360" w:lineRule="auto"/>
        <w:jc w:val="both"/>
        <w:rPr>
          <w:rFonts w:ascii="Times New Roman" w:eastAsia="Times New Roman" w:hAnsi="Times New Roman" w:cs="Times New Roman"/>
          <w:b/>
          <w:bCs/>
          <w:sz w:val="24"/>
          <w:szCs w:val="24"/>
          <w:lang w:eastAsia="el-GR"/>
        </w:rPr>
      </w:pPr>
    </w:p>
    <w:p w:rsidR="005941FC" w:rsidRPr="00C05DEF" w:rsidRDefault="005941FC" w:rsidP="00C05DEF">
      <w:pPr>
        <w:tabs>
          <w:tab w:val="left" w:pos="4530"/>
        </w:tabs>
        <w:spacing w:after="0" w:line="360" w:lineRule="auto"/>
        <w:jc w:val="both"/>
        <w:rPr>
          <w:rFonts w:ascii="Times New Roman" w:eastAsia="Times New Roman" w:hAnsi="Times New Roman" w:cs="Times New Roman"/>
          <w:b/>
          <w:bCs/>
          <w:sz w:val="24"/>
          <w:szCs w:val="24"/>
          <w:lang w:eastAsia="el-GR"/>
        </w:rPr>
      </w:pPr>
      <w:r w:rsidRPr="00C05DEF">
        <w:rPr>
          <w:rFonts w:ascii="Times New Roman" w:eastAsia="Times New Roman" w:hAnsi="Times New Roman" w:cs="Times New Roman"/>
          <w:b/>
          <w:bCs/>
          <w:sz w:val="24"/>
          <w:szCs w:val="24"/>
          <w:lang w:eastAsia="el-GR"/>
        </w:rPr>
        <w:lastRenderedPageBreak/>
        <w:t xml:space="preserve">Γράφημα 1- Δείκτης οικονομικού κλίματος μικρομεσαίων επιχειρήσεων </w:t>
      </w:r>
    </w:p>
    <w:p w:rsidR="005941FC" w:rsidRPr="005941FC" w:rsidRDefault="00B01C6A" w:rsidP="005941FC">
      <w:pPr>
        <w:spacing w:after="0" w:line="240" w:lineRule="auto"/>
        <w:jc w:val="both"/>
        <w:rPr>
          <w:rFonts w:ascii="Times New Roman" w:eastAsia="Times New Roman" w:hAnsi="Times New Roman" w:cs="Times New Roman"/>
          <w:noProof/>
          <w:sz w:val="24"/>
          <w:szCs w:val="24"/>
          <w:lang w:eastAsia="el-GR"/>
        </w:rPr>
      </w:pPr>
      <w:r>
        <w:rPr>
          <w:noProof/>
          <w:lang w:eastAsia="el-GR"/>
        </w:rPr>
        <w:drawing>
          <wp:inline distT="0" distB="0" distL="0" distR="0" wp14:anchorId="17EDC461" wp14:editId="12CA3B3F">
            <wp:extent cx="6562725" cy="2724150"/>
            <wp:effectExtent l="0" t="0" r="9525"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941FC" w:rsidRPr="005941FC" w:rsidRDefault="005941FC" w:rsidP="005941FC">
      <w:pPr>
        <w:spacing w:after="0" w:line="240" w:lineRule="auto"/>
        <w:jc w:val="both"/>
        <w:rPr>
          <w:rFonts w:ascii="Arial Narrow" w:eastAsia="Times New Roman" w:hAnsi="Arial Narrow" w:cs="Times New Roman"/>
          <w:i/>
          <w:sz w:val="20"/>
          <w:szCs w:val="20"/>
          <w:lang w:val="en-US" w:eastAsia="el-GR"/>
        </w:rPr>
      </w:pPr>
      <w:r w:rsidRPr="005941FC">
        <w:rPr>
          <w:rFonts w:ascii="Arial Narrow" w:eastAsia="Times New Roman" w:hAnsi="Arial Narrow" w:cs="Times New Roman"/>
          <w:i/>
          <w:sz w:val="20"/>
          <w:szCs w:val="20"/>
          <w:lang w:eastAsia="el-GR"/>
        </w:rPr>
        <w:t>Πηγή</w:t>
      </w:r>
      <w:r w:rsidRPr="005941FC">
        <w:rPr>
          <w:rFonts w:ascii="Arial Narrow" w:eastAsia="Times New Roman" w:hAnsi="Arial Narrow" w:cs="Times New Roman"/>
          <w:i/>
          <w:sz w:val="20"/>
          <w:szCs w:val="20"/>
          <w:lang w:val="en-US" w:eastAsia="el-GR"/>
        </w:rPr>
        <w:t xml:space="preserve">: </w:t>
      </w:r>
      <w:r w:rsidRPr="005941FC">
        <w:rPr>
          <w:rFonts w:ascii="Arial Narrow" w:eastAsia="Times New Roman" w:hAnsi="Arial Narrow" w:cs="Times New Roman"/>
          <w:i/>
          <w:sz w:val="20"/>
          <w:szCs w:val="20"/>
          <w:lang w:eastAsia="el-GR"/>
        </w:rPr>
        <w:t>ΙΜΕ</w:t>
      </w:r>
      <w:r w:rsidRPr="005941FC">
        <w:rPr>
          <w:rFonts w:ascii="Arial Narrow" w:eastAsia="Times New Roman" w:hAnsi="Arial Narrow" w:cs="Times New Roman"/>
          <w:i/>
          <w:sz w:val="20"/>
          <w:szCs w:val="20"/>
          <w:lang w:val="en-US" w:eastAsia="el-GR"/>
        </w:rPr>
        <w:t xml:space="preserve"> </w:t>
      </w:r>
      <w:r w:rsidRPr="005941FC">
        <w:rPr>
          <w:rFonts w:ascii="Arial Narrow" w:eastAsia="Times New Roman" w:hAnsi="Arial Narrow" w:cs="Times New Roman"/>
          <w:i/>
          <w:sz w:val="20"/>
          <w:szCs w:val="20"/>
          <w:lang w:eastAsia="el-GR"/>
        </w:rPr>
        <w:t>ΓΣΕΒΕΕ</w:t>
      </w:r>
      <w:r w:rsidRPr="005941FC">
        <w:rPr>
          <w:rFonts w:ascii="Arial Narrow" w:eastAsia="Times New Roman" w:hAnsi="Arial Narrow" w:cs="Times New Roman"/>
          <w:i/>
          <w:sz w:val="20"/>
          <w:szCs w:val="20"/>
          <w:lang w:val="en-US" w:eastAsia="el-GR"/>
        </w:rPr>
        <w:t xml:space="preserve">, </w:t>
      </w:r>
      <w:r w:rsidR="004655E7">
        <w:rPr>
          <w:rFonts w:ascii="Arial Narrow" w:eastAsia="Times New Roman" w:hAnsi="Arial Narrow" w:cs="Times New Roman"/>
          <w:i/>
          <w:sz w:val="20"/>
          <w:szCs w:val="20"/>
          <w:lang w:val="en-US" w:eastAsia="el-GR"/>
        </w:rPr>
        <w:t>SME UNITED</w:t>
      </w:r>
      <w:r w:rsidRPr="005941FC">
        <w:rPr>
          <w:rFonts w:ascii="Arial Narrow" w:eastAsia="Times New Roman" w:hAnsi="Arial Narrow" w:cs="Times New Roman"/>
          <w:i/>
          <w:sz w:val="20"/>
          <w:szCs w:val="20"/>
          <w:lang w:val="en-US" w:eastAsia="el-GR"/>
        </w:rPr>
        <w:t xml:space="preserve"> (SME Barometer)</w:t>
      </w:r>
    </w:p>
    <w:p w:rsidR="005941FC" w:rsidRPr="005941FC" w:rsidRDefault="005941FC" w:rsidP="005941FC">
      <w:pPr>
        <w:spacing w:after="0" w:line="240" w:lineRule="auto"/>
        <w:ind w:firstLine="360"/>
        <w:jc w:val="both"/>
        <w:rPr>
          <w:rFonts w:ascii="Arial Narrow" w:eastAsia="Times New Roman" w:hAnsi="Arial Narrow" w:cs="Times New Roman"/>
          <w:sz w:val="24"/>
          <w:szCs w:val="24"/>
          <w:lang w:val="en-US" w:eastAsia="el-GR"/>
        </w:rPr>
      </w:pPr>
    </w:p>
    <w:p w:rsidR="00D576B6" w:rsidRPr="004655E7" w:rsidRDefault="004655E7" w:rsidP="004655E7">
      <w:pPr>
        <w:spacing w:after="0" w:line="360" w:lineRule="auto"/>
        <w:jc w:val="both"/>
        <w:rPr>
          <w:rFonts w:ascii="Times New Roman" w:hAnsi="Times New Roman" w:cs="Times New Roman"/>
          <w:b/>
          <w:sz w:val="24"/>
          <w:szCs w:val="24"/>
          <w:u w:val="single"/>
        </w:rPr>
      </w:pPr>
      <w:r w:rsidRPr="004655E7">
        <w:rPr>
          <w:rFonts w:ascii="Times New Roman" w:hAnsi="Times New Roman" w:cs="Times New Roman"/>
          <w:b/>
          <w:sz w:val="24"/>
          <w:szCs w:val="24"/>
          <w:u w:val="single"/>
        </w:rPr>
        <w:t>Κύκλος εργασιών – Ζή</w:t>
      </w:r>
      <w:r w:rsidR="00D576B6" w:rsidRPr="004655E7">
        <w:rPr>
          <w:rFonts w:ascii="Times New Roman" w:hAnsi="Times New Roman" w:cs="Times New Roman"/>
          <w:b/>
          <w:sz w:val="24"/>
          <w:szCs w:val="24"/>
          <w:u w:val="single"/>
        </w:rPr>
        <w:t>τηση – Παραγγελίες - Τιμές</w:t>
      </w:r>
    </w:p>
    <w:p w:rsidR="00D576B6" w:rsidRPr="004655E7" w:rsidRDefault="00D576B6" w:rsidP="004655E7">
      <w:pPr>
        <w:spacing w:after="0" w:line="360" w:lineRule="auto"/>
        <w:jc w:val="both"/>
        <w:rPr>
          <w:rFonts w:ascii="Times New Roman" w:hAnsi="Times New Roman" w:cs="Times New Roman"/>
          <w:sz w:val="24"/>
          <w:szCs w:val="24"/>
        </w:rPr>
      </w:pPr>
      <w:r w:rsidRPr="004655E7">
        <w:rPr>
          <w:rFonts w:ascii="Times New Roman" w:hAnsi="Times New Roman" w:cs="Times New Roman"/>
          <w:sz w:val="24"/>
          <w:szCs w:val="24"/>
        </w:rPr>
        <w:t xml:space="preserve">Ο δείκτης κύκλου εργασιών των πολύ μικρών και μικρών επιχειρήσεων μετά την σημαντική αύξηση </w:t>
      </w:r>
      <w:r w:rsidR="00C92675">
        <w:rPr>
          <w:rFonts w:ascii="Times New Roman" w:hAnsi="Times New Roman" w:cs="Times New Roman"/>
          <w:sz w:val="24"/>
          <w:szCs w:val="24"/>
        </w:rPr>
        <w:t>που κατέγραψε το Β</w:t>
      </w:r>
      <w:r w:rsidRPr="004655E7">
        <w:rPr>
          <w:rFonts w:ascii="Times New Roman" w:hAnsi="Times New Roman" w:cs="Times New Roman"/>
          <w:sz w:val="24"/>
          <w:szCs w:val="24"/>
        </w:rPr>
        <w:t xml:space="preserve"> εξάμηνο του 2018 παρουσιάζει επιβράδυνση. Διαμορφώνεται στις 58,4 μονάδες έναντι 62,3 τον Ιανουάριο του 2019 και 51,8 τον Ιούλιο του 2018</w:t>
      </w:r>
      <w:r w:rsidR="00FD251B" w:rsidRPr="004655E7">
        <w:rPr>
          <w:rFonts w:ascii="Times New Roman" w:hAnsi="Times New Roman" w:cs="Times New Roman"/>
          <w:sz w:val="24"/>
          <w:szCs w:val="24"/>
        </w:rPr>
        <w:t xml:space="preserve"> (Γράφημα 2)</w:t>
      </w:r>
      <w:r w:rsidRPr="004655E7">
        <w:rPr>
          <w:rFonts w:ascii="Times New Roman" w:hAnsi="Times New Roman" w:cs="Times New Roman"/>
          <w:sz w:val="24"/>
          <w:szCs w:val="24"/>
        </w:rPr>
        <w:t>. Η επιβράδυνση που καταγράφεται στην έρευνα του ΙΜΕ ΓΣΕΒΕΕ συμβαδίζει με τα στοιχεία που έχουν δημοσιευτεί από την ΕΛΣΤΑΤ σχετικά με τον κύκλο εργασιών στην Βιομηχανία, στο λιανικό και χονδρικό εμπόριο και στον τομέα της παροχής υπηρεσιών καταλύματος και εστίασης όπου καταγράφεται πτώση των κύκλων εργασιών στους παραπάνω κλάδους (-2,3% στην βιομηχανία</w:t>
      </w:r>
      <w:r w:rsidRPr="004655E7">
        <w:rPr>
          <w:rStyle w:val="a8"/>
          <w:rFonts w:ascii="Times New Roman" w:hAnsi="Times New Roman" w:cs="Times New Roman"/>
          <w:sz w:val="24"/>
          <w:szCs w:val="24"/>
        </w:rPr>
        <w:footnoteReference w:id="4"/>
      </w:r>
      <w:r w:rsidRPr="004655E7">
        <w:rPr>
          <w:rFonts w:ascii="Times New Roman" w:hAnsi="Times New Roman" w:cs="Times New Roman"/>
          <w:sz w:val="24"/>
          <w:szCs w:val="24"/>
        </w:rPr>
        <w:t>, -2% στο λιανικό εμπόριο</w:t>
      </w:r>
      <w:r w:rsidRPr="004655E7">
        <w:rPr>
          <w:rStyle w:val="a8"/>
          <w:rFonts w:ascii="Times New Roman" w:hAnsi="Times New Roman" w:cs="Times New Roman"/>
          <w:sz w:val="24"/>
          <w:szCs w:val="24"/>
        </w:rPr>
        <w:footnoteReference w:id="5"/>
      </w:r>
      <w:r w:rsidRPr="004655E7">
        <w:rPr>
          <w:rFonts w:ascii="Times New Roman" w:hAnsi="Times New Roman" w:cs="Times New Roman"/>
          <w:sz w:val="24"/>
          <w:szCs w:val="24"/>
        </w:rPr>
        <w:t>, -1,3% στο χονδρικό εμπόριο</w:t>
      </w:r>
      <w:r w:rsidRPr="004655E7">
        <w:rPr>
          <w:rStyle w:val="a8"/>
          <w:rFonts w:ascii="Times New Roman" w:hAnsi="Times New Roman" w:cs="Times New Roman"/>
          <w:sz w:val="24"/>
          <w:szCs w:val="24"/>
        </w:rPr>
        <w:footnoteReference w:id="6"/>
      </w:r>
      <w:r w:rsidRPr="004655E7">
        <w:rPr>
          <w:rFonts w:ascii="Times New Roman" w:hAnsi="Times New Roman" w:cs="Times New Roman"/>
          <w:sz w:val="24"/>
          <w:szCs w:val="24"/>
        </w:rPr>
        <w:t>, - 19,2% στις υπηρεσίες παροχής καταλύματος και εστίασης</w:t>
      </w:r>
      <w:r w:rsidRPr="004655E7">
        <w:rPr>
          <w:rStyle w:val="a8"/>
          <w:rFonts w:ascii="Times New Roman" w:hAnsi="Times New Roman" w:cs="Times New Roman"/>
          <w:sz w:val="24"/>
          <w:szCs w:val="24"/>
        </w:rPr>
        <w:footnoteReference w:id="7"/>
      </w:r>
      <w:r w:rsidRPr="004655E7">
        <w:rPr>
          <w:rFonts w:ascii="Times New Roman" w:hAnsi="Times New Roman" w:cs="Times New Roman"/>
          <w:sz w:val="24"/>
          <w:szCs w:val="24"/>
        </w:rPr>
        <w:t>, αλλά και στους 3 από τους 5 Δείκτες κύκλου εργασιών του τομέα των Μεταφορών</w:t>
      </w:r>
      <w:r w:rsidRPr="004655E7">
        <w:rPr>
          <w:rStyle w:val="a8"/>
          <w:rFonts w:ascii="Times New Roman" w:hAnsi="Times New Roman" w:cs="Times New Roman"/>
          <w:sz w:val="24"/>
          <w:szCs w:val="24"/>
        </w:rPr>
        <w:footnoteReference w:id="8"/>
      </w:r>
      <w:r w:rsidRPr="004655E7">
        <w:rPr>
          <w:rFonts w:ascii="Times New Roman" w:hAnsi="Times New Roman" w:cs="Times New Roman"/>
          <w:sz w:val="24"/>
          <w:szCs w:val="24"/>
        </w:rPr>
        <w:t>). Επιπλέον για το 1</w:t>
      </w:r>
      <w:r w:rsidRPr="004655E7">
        <w:rPr>
          <w:rFonts w:ascii="Times New Roman" w:hAnsi="Times New Roman" w:cs="Times New Roman"/>
          <w:sz w:val="24"/>
          <w:szCs w:val="24"/>
          <w:vertAlign w:val="superscript"/>
        </w:rPr>
        <w:t>ο</w:t>
      </w:r>
      <w:r w:rsidRPr="004655E7">
        <w:rPr>
          <w:rFonts w:ascii="Times New Roman" w:hAnsi="Times New Roman" w:cs="Times New Roman"/>
          <w:sz w:val="24"/>
          <w:szCs w:val="24"/>
        </w:rPr>
        <w:t xml:space="preserve"> τρίμηνο του 2019 το ΑΕΠ</w:t>
      </w:r>
      <w:r w:rsidRPr="004655E7">
        <w:rPr>
          <w:rStyle w:val="a8"/>
          <w:rFonts w:ascii="Times New Roman" w:hAnsi="Times New Roman" w:cs="Times New Roman"/>
          <w:sz w:val="24"/>
          <w:szCs w:val="24"/>
        </w:rPr>
        <w:footnoteReference w:id="9"/>
      </w:r>
      <w:r w:rsidRPr="004655E7">
        <w:rPr>
          <w:rFonts w:ascii="Times New Roman" w:hAnsi="Times New Roman" w:cs="Times New Roman"/>
          <w:sz w:val="24"/>
          <w:szCs w:val="24"/>
        </w:rPr>
        <w:t xml:space="preserve"> αν και παρουσιάζει αύξηση της τάξης του 0,2</w:t>
      </w:r>
      <w:r w:rsidR="00320245" w:rsidRPr="00320245">
        <w:rPr>
          <w:rFonts w:ascii="Times New Roman" w:hAnsi="Times New Roman" w:cs="Times New Roman"/>
          <w:sz w:val="24"/>
          <w:szCs w:val="24"/>
        </w:rPr>
        <w:t>%</w:t>
      </w:r>
      <w:r w:rsidRPr="004655E7">
        <w:rPr>
          <w:rFonts w:ascii="Times New Roman" w:hAnsi="Times New Roman" w:cs="Times New Roman"/>
          <w:sz w:val="24"/>
          <w:szCs w:val="24"/>
        </w:rPr>
        <w:t xml:space="preserve"> σε σχέση με το προηγούμενο τρίμηνο και 1,3% σε σχέση με το προηγούμενο έτος υπολείπεται των αντίστοιχων αυξήσεων του 2018 σε σύγκριση με το 2017 (0,5% και 2,6% αντίστοιχα). </w:t>
      </w:r>
      <w:r w:rsidR="00C92675">
        <w:rPr>
          <w:rFonts w:ascii="Times New Roman" w:hAnsi="Times New Roman" w:cs="Times New Roman"/>
          <w:sz w:val="24"/>
          <w:szCs w:val="24"/>
        </w:rPr>
        <w:t>Επίσης,</w:t>
      </w:r>
      <w:r w:rsidRPr="004655E7">
        <w:rPr>
          <w:rFonts w:ascii="Times New Roman" w:hAnsi="Times New Roman" w:cs="Times New Roman"/>
          <w:sz w:val="24"/>
          <w:szCs w:val="24"/>
        </w:rPr>
        <w:t xml:space="preserve"> η καταναλωτική δαπάνη που θα μπορούσε να τροφοδοτήσει περαιτέρω την ανάπτυξη ουσιαστικά δεν μεταβλήθηκε καταγράφοντας το 1</w:t>
      </w:r>
      <w:r w:rsidRPr="004655E7">
        <w:rPr>
          <w:rFonts w:ascii="Times New Roman" w:hAnsi="Times New Roman" w:cs="Times New Roman"/>
          <w:sz w:val="24"/>
          <w:szCs w:val="24"/>
          <w:vertAlign w:val="superscript"/>
        </w:rPr>
        <w:t>ο</w:t>
      </w:r>
      <w:r w:rsidRPr="004655E7">
        <w:rPr>
          <w:rFonts w:ascii="Times New Roman" w:hAnsi="Times New Roman" w:cs="Times New Roman"/>
          <w:sz w:val="24"/>
          <w:szCs w:val="24"/>
        </w:rPr>
        <w:t xml:space="preserve"> τρίμηνο του 2019 μείωση κατά 0,1% σε σχέση με το προηγούμενο τρίμηνο και αύξηση 0,1% σε σχέση με το αντίστοιχο τρίμηνο του 2018.</w:t>
      </w:r>
    </w:p>
    <w:p w:rsidR="00FD251B" w:rsidRDefault="00FD251B" w:rsidP="00D576B6">
      <w:pPr>
        <w:jc w:val="both"/>
        <w:rPr>
          <w:rFonts w:ascii="Arial Black" w:hAnsi="Arial Black"/>
        </w:rPr>
      </w:pPr>
      <w:r>
        <w:rPr>
          <w:noProof/>
          <w:lang w:eastAsia="el-GR"/>
        </w:rPr>
        <w:lastRenderedPageBreak/>
        <w:drawing>
          <wp:inline distT="0" distB="0" distL="0" distR="0" wp14:anchorId="20B94E19" wp14:editId="7B45B8B7">
            <wp:extent cx="6334125" cy="2657475"/>
            <wp:effectExtent l="0" t="0" r="952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D251B" w:rsidRPr="004655E7" w:rsidRDefault="00D576B6" w:rsidP="004655E7">
      <w:pPr>
        <w:spacing w:after="0" w:line="360" w:lineRule="auto"/>
        <w:jc w:val="both"/>
        <w:rPr>
          <w:rFonts w:ascii="Times New Roman" w:hAnsi="Times New Roman" w:cs="Times New Roman"/>
          <w:sz w:val="24"/>
          <w:szCs w:val="24"/>
        </w:rPr>
      </w:pPr>
      <w:r w:rsidRPr="004655E7">
        <w:rPr>
          <w:rFonts w:ascii="Times New Roman" w:hAnsi="Times New Roman" w:cs="Times New Roman"/>
          <w:sz w:val="24"/>
          <w:szCs w:val="24"/>
        </w:rPr>
        <w:t>Το 37,3% των επιχειρήσεων δηλώνει ότι ο τζίρος παρέμεινε αμετάβλητος και το 20,2% βελτίωση έναντι του 40,9% που  δηλώνει επιδείνωση</w:t>
      </w:r>
      <w:r w:rsidR="00FD251B" w:rsidRPr="004655E7">
        <w:rPr>
          <w:rFonts w:ascii="Times New Roman" w:hAnsi="Times New Roman" w:cs="Times New Roman"/>
          <w:sz w:val="24"/>
          <w:szCs w:val="24"/>
        </w:rPr>
        <w:t xml:space="preserve"> (Γράφημα 3)</w:t>
      </w:r>
      <w:r w:rsidRPr="004655E7">
        <w:rPr>
          <w:rFonts w:ascii="Times New Roman" w:hAnsi="Times New Roman" w:cs="Times New Roman"/>
          <w:sz w:val="24"/>
          <w:szCs w:val="24"/>
        </w:rPr>
        <w:t>.  Το εμπόριο, οι επιχειρήσεις χωρίς προσωπικό και με τζίρο έως 50.000 €  παρουσιάζουν τις υψηλότερες απώλειες αφού σχεδόν 1 στις 2 δήλωσε μείωση του κύκλου εργασιών του (46,2%, 47,6% και 47% αντίστοιχα). Οι μεταποιητικές επιχειρήσεις και εκείνες με μεγαλύτερο κύκλο εργασιών (πάνω από 300.000€) και μεγαλύτερο αριθμό εργαζομένων (πάνω από 5 άτομα) παρουσιάζουν σημαντικά καλύτερες επιδόσεις καθώς σχεδόν 3 στις 10 κατέγραψαν αύξηση του τζίρου τους το προηγούμενο εξάμηνο (28,2%, 30,6% και 30,3% αντίστοιχα).</w:t>
      </w:r>
      <w:r w:rsidR="00FD251B" w:rsidRPr="004655E7">
        <w:rPr>
          <w:rFonts w:ascii="Times New Roman" w:hAnsi="Times New Roman" w:cs="Times New Roman"/>
          <w:sz w:val="24"/>
          <w:szCs w:val="24"/>
        </w:rPr>
        <w:t xml:space="preserve"> </w:t>
      </w:r>
    </w:p>
    <w:p w:rsidR="00FD251B" w:rsidRPr="004655E7" w:rsidRDefault="00FD251B" w:rsidP="004655E7">
      <w:pPr>
        <w:spacing w:after="0" w:line="360" w:lineRule="auto"/>
        <w:jc w:val="both"/>
        <w:rPr>
          <w:rFonts w:ascii="Times New Roman" w:hAnsi="Times New Roman" w:cs="Times New Roman"/>
          <w:sz w:val="24"/>
          <w:szCs w:val="24"/>
        </w:rPr>
      </w:pPr>
      <w:r w:rsidRPr="004655E7">
        <w:rPr>
          <w:rFonts w:ascii="Times New Roman" w:hAnsi="Times New Roman" w:cs="Times New Roman"/>
          <w:sz w:val="24"/>
          <w:szCs w:val="24"/>
        </w:rPr>
        <w:t>Όσον αφορά τους δείκτες ζήτησης και παραγγελιών το 21,5% και 17,7% αντίστοιχα δήλωσε αύξηση, το 38,8% και 37,1% αντίστοιχα μείωση, ενώ το 39,1% και 41,9% αντίστοιχα δήλωσε πως η κατάσταση παρέμεινε αμετάβλητη.</w:t>
      </w:r>
    </w:p>
    <w:p w:rsidR="00D576B6" w:rsidRPr="004655E7" w:rsidRDefault="00FD251B" w:rsidP="004655E7">
      <w:pPr>
        <w:spacing w:after="0" w:line="360" w:lineRule="auto"/>
        <w:jc w:val="both"/>
        <w:rPr>
          <w:rFonts w:ascii="Times New Roman" w:hAnsi="Times New Roman" w:cs="Times New Roman"/>
          <w:sz w:val="24"/>
          <w:szCs w:val="24"/>
        </w:rPr>
      </w:pPr>
      <w:r w:rsidRPr="004655E7">
        <w:rPr>
          <w:rFonts w:ascii="Times New Roman" w:hAnsi="Times New Roman" w:cs="Times New Roman"/>
          <w:sz w:val="24"/>
          <w:szCs w:val="24"/>
        </w:rPr>
        <w:t>Αναφορικά με το επίπεδο τιμών αγαθών/υπηρεσιών, το 7,7% των επιχειρήσεων δήλωσε ότι αύξησε τις τιμές, το 21,8% τις μείωσε, ενώ για το 69,5% δεν υπήρξε καμιά μεταβολή.</w:t>
      </w:r>
    </w:p>
    <w:p w:rsidR="005941FC" w:rsidRPr="00335DA5" w:rsidRDefault="00FD251B" w:rsidP="005941FC">
      <w:pPr>
        <w:tabs>
          <w:tab w:val="left" w:pos="4530"/>
        </w:tabs>
        <w:spacing w:after="0" w:line="240" w:lineRule="auto"/>
        <w:jc w:val="both"/>
        <w:rPr>
          <w:rFonts w:ascii="Calibri" w:eastAsia="Times New Roman" w:hAnsi="Calibri" w:cs="Times New Roman"/>
          <w:b/>
          <w:bCs/>
          <w:sz w:val="24"/>
          <w:szCs w:val="24"/>
          <w:lang w:eastAsia="el-GR"/>
        </w:rPr>
      </w:pPr>
      <w:r>
        <w:rPr>
          <w:rFonts w:ascii="Calibri" w:eastAsia="Times New Roman" w:hAnsi="Calibri" w:cs="Times New Roman"/>
          <w:b/>
          <w:bCs/>
          <w:sz w:val="24"/>
          <w:szCs w:val="24"/>
          <w:lang w:eastAsia="el-GR"/>
        </w:rPr>
        <w:t>Γράφημα 3</w:t>
      </w:r>
      <w:r w:rsidR="005941FC" w:rsidRPr="00335DA5">
        <w:rPr>
          <w:rFonts w:ascii="Calibri" w:eastAsia="Times New Roman" w:hAnsi="Calibri" w:cs="Times New Roman"/>
          <w:b/>
          <w:bCs/>
          <w:sz w:val="24"/>
          <w:szCs w:val="24"/>
          <w:lang w:eastAsia="el-GR"/>
        </w:rPr>
        <w:t xml:space="preserve">- Αποτίμηση τελευταίου εξαμήνου – συγκεντρωτικοί δείκτες </w:t>
      </w:r>
    </w:p>
    <w:p w:rsidR="005941FC" w:rsidRPr="005941FC" w:rsidRDefault="00335DA5" w:rsidP="005941FC">
      <w:pPr>
        <w:tabs>
          <w:tab w:val="left" w:pos="4530"/>
        </w:tabs>
        <w:spacing w:after="0" w:line="240" w:lineRule="auto"/>
        <w:jc w:val="both"/>
        <w:rPr>
          <w:rFonts w:ascii="Calibri" w:eastAsia="Times New Roman" w:hAnsi="Calibri" w:cs="Times New Roman"/>
          <w:b/>
          <w:bCs/>
          <w:noProof/>
          <w:sz w:val="20"/>
          <w:szCs w:val="20"/>
          <w:lang w:eastAsia="el-GR"/>
        </w:rPr>
      </w:pPr>
      <w:r w:rsidRPr="00335DA5">
        <w:rPr>
          <w:rFonts w:ascii="Calibri" w:eastAsia="Times New Roman" w:hAnsi="Calibri" w:cs="Times New Roman"/>
          <w:b/>
          <w:bCs/>
          <w:noProof/>
          <w:sz w:val="20"/>
          <w:szCs w:val="20"/>
          <w:lang w:eastAsia="el-GR"/>
        </w:rPr>
        <w:drawing>
          <wp:inline distT="0" distB="0" distL="0" distR="0" wp14:anchorId="6A3A78C4" wp14:editId="6037E98B">
            <wp:extent cx="6219825" cy="2590800"/>
            <wp:effectExtent l="0" t="0" r="9525" b="19050"/>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941FC" w:rsidRPr="005941FC" w:rsidRDefault="005941FC" w:rsidP="005941FC">
      <w:pPr>
        <w:tabs>
          <w:tab w:val="left" w:pos="4530"/>
        </w:tabs>
        <w:spacing w:after="0" w:line="240" w:lineRule="auto"/>
        <w:jc w:val="both"/>
        <w:rPr>
          <w:rFonts w:ascii="Calibri" w:eastAsia="Times New Roman" w:hAnsi="Calibri" w:cs="Times New Roman"/>
          <w:b/>
          <w:bCs/>
          <w:noProof/>
          <w:sz w:val="20"/>
          <w:szCs w:val="20"/>
          <w:lang w:eastAsia="el-GR"/>
        </w:rPr>
      </w:pPr>
    </w:p>
    <w:p w:rsidR="005941FC" w:rsidRPr="005941FC" w:rsidRDefault="005941FC" w:rsidP="005941FC">
      <w:pPr>
        <w:tabs>
          <w:tab w:val="left" w:pos="4530"/>
        </w:tabs>
        <w:spacing w:after="0" w:line="240" w:lineRule="auto"/>
        <w:jc w:val="both"/>
        <w:rPr>
          <w:rFonts w:ascii="Calibri" w:eastAsia="Times New Roman" w:hAnsi="Calibri" w:cs="Times New Roman"/>
          <w:b/>
          <w:bCs/>
          <w:noProof/>
          <w:sz w:val="20"/>
          <w:szCs w:val="20"/>
          <w:lang w:eastAsia="el-GR"/>
        </w:rPr>
      </w:pPr>
    </w:p>
    <w:p w:rsidR="00FD251B" w:rsidRPr="004655E7" w:rsidRDefault="00FD251B" w:rsidP="004655E7">
      <w:pPr>
        <w:spacing w:after="0" w:line="360" w:lineRule="auto"/>
        <w:jc w:val="both"/>
        <w:rPr>
          <w:rFonts w:ascii="Times New Roman" w:hAnsi="Times New Roman" w:cs="Times New Roman"/>
          <w:sz w:val="24"/>
          <w:szCs w:val="24"/>
        </w:rPr>
      </w:pPr>
      <w:r w:rsidRPr="004655E7">
        <w:rPr>
          <w:rFonts w:ascii="Times New Roman" w:hAnsi="Times New Roman" w:cs="Times New Roman"/>
          <w:sz w:val="24"/>
          <w:szCs w:val="24"/>
        </w:rPr>
        <w:t>Περίπου 4 στις 10 επιχειρήσεις δήλωσαν ετήσιο τζίρο (2018 – Γράφημα 4) έως 50.000€ (39,1%) (44,1% το 2017), η συντριπτική πλειοψηφία αυτών (69,1%) αφορά επιχειρήσεις χωρίς προσωπικό και το 50,1% του τομέα των υπηρεσιών Το 17,7% από 50-100.000€ (17,6% το 2017), 18,4% από 100 έως 300.000 € (15,5% το 2017). Σχεδόν 1 στις 5 επιχειρήσεις δήλωσαν ετήσιο τζίρο μεγαλύτερο των 300.000€ (18,2%) έναντι 14,9% το 2017</w:t>
      </w:r>
      <w:r w:rsidR="00810D7C" w:rsidRPr="004655E7">
        <w:rPr>
          <w:rFonts w:ascii="Times New Roman" w:hAnsi="Times New Roman" w:cs="Times New Roman"/>
          <w:sz w:val="24"/>
          <w:szCs w:val="24"/>
        </w:rPr>
        <w:t xml:space="preserve"> (Γράφημα 6)</w:t>
      </w:r>
      <w:r w:rsidRPr="004655E7">
        <w:rPr>
          <w:rFonts w:ascii="Times New Roman" w:hAnsi="Times New Roman" w:cs="Times New Roman"/>
          <w:sz w:val="24"/>
          <w:szCs w:val="24"/>
        </w:rPr>
        <w:t>.</w:t>
      </w:r>
    </w:p>
    <w:p w:rsidR="001A21FF" w:rsidRPr="004655E7" w:rsidRDefault="00FD251B" w:rsidP="004655E7">
      <w:pPr>
        <w:spacing w:after="0" w:line="360" w:lineRule="auto"/>
        <w:jc w:val="both"/>
        <w:rPr>
          <w:rFonts w:ascii="Times New Roman" w:hAnsi="Times New Roman" w:cs="Times New Roman"/>
          <w:sz w:val="24"/>
          <w:szCs w:val="24"/>
        </w:rPr>
      </w:pPr>
      <w:r w:rsidRPr="004655E7">
        <w:rPr>
          <w:rFonts w:ascii="Times New Roman" w:hAnsi="Times New Roman" w:cs="Times New Roman"/>
          <w:sz w:val="24"/>
          <w:szCs w:val="24"/>
        </w:rPr>
        <w:t>Ως προς το δείκτη κερδοφορίας για το 2018 (Γρ</w:t>
      </w:r>
      <w:r w:rsidR="00810D7C" w:rsidRPr="004655E7">
        <w:rPr>
          <w:rFonts w:ascii="Times New Roman" w:hAnsi="Times New Roman" w:cs="Times New Roman"/>
          <w:sz w:val="24"/>
          <w:szCs w:val="24"/>
        </w:rPr>
        <w:t>άφημα 5</w:t>
      </w:r>
      <w:r w:rsidRPr="004655E7">
        <w:rPr>
          <w:rFonts w:ascii="Times New Roman" w:hAnsi="Times New Roman" w:cs="Times New Roman"/>
          <w:sz w:val="24"/>
          <w:szCs w:val="24"/>
        </w:rPr>
        <w:t>), το 20,1% των επιχειρήσεων δήλωσε ότι είχε κέρδη κάτω των 5.000€ (19,1% το 2017), ενώ το 15,1% κατέγραψε ζημίες ή μηδενικό κέρδος (13,8% το 2017). Η πλειονότητα των επιχειρήσεων (28,6%) δηλώνει ότι τα φορολογητέα κέρδη είναι μεταξύ 5.000 και 20.000 (25,4% το 2017), ενώ το 13,4% άνω των 20.000€ (13,2% το 2017).</w:t>
      </w:r>
    </w:p>
    <w:p w:rsidR="001A21FF" w:rsidRPr="005941FC" w:rsidRDefault="001A21FF" w:rsidP="005941FC">
      <w:pPr>
        <w:spacing w:after="0" w:line="240" w:lineRule="auto"/>
        <w:ind w:firstLine="720"/>
        <w:jc w:val="both"/>
        <w:rPr>
          <w:rFonts w:ascii="Arial Narrow" w:eastAsia="Times New Roman" w:hAnsi="Arial Narrow" w:cs="Times New Roman"/>
          <w:sz w:val="24"/>
          <w:szCs w:val="24"/>
          <w:lang w:eastAsia="el-GR"/>
        </w:rPr>
      </w:pPr>
    </w:p>
    <w:tbl>
      <w:tblPr>
        <w:tblStyle w:val="ab"/>
        <w:tblW w:w="0" w:type="auto"/>
        <w:tblInd w:w="108" w:type="dxa"/>
        <w:tblLook w:val="04A0" w:firstRow="1" w:lastRow="0" w:firstColumn="1" w:lastColumn="0" w:noHBand="0" w:noVBand="1"/>
      </w:tblPr>
      <w:tblGrid>
        <w:gridCol w:w="4820"/>
        <w:gridCol w:w="4961"/>
      </w:tblGrid>
      <w:tr w:rsidR="005941FC" w:rsidRPr="005941FC" w:rsidTr="0053669B">
        <w:tc>
          <w:tcPr>
            <w:tcW w:w="4820" w:type="dxa"/>
          </w:tcPr>
          <w:p w:rsidR="005941FC" w:rsidRPr="005941FC" w:rsidRDefault="00FD251B" w:rsidP="005941FC">
            <w:pPr>
              <w:tabs>
                <w:tab w:val="left" w:pos="4530"/>
              </w:tabs>
              <w:jc w:val="center"/>
              <w:rPr>
                <w:rFonts w:ascii="Calibri" w:hAnsi="Calibri"/>
                <w:b/>
                <w:bCs/>
                <w:noProof/>
              </w:rPr>
            </w:pPr>
            <w:r>
              <w:rPr>
                <w:rFonts w:ascii="Calibri" w:hAnsi="Calibri"/>
                <w:b/>
                <w:bCs/>
                <w:noProof/>
              </w:rPr>
              <w:t xml:space="preserve">Γράφημα </w:t>
            </w:r>
            <w:r w:rsidR="00810D7C">
              <w:rPr>
                <w:rFonts w:ascii="Calibri" w:hAnsi="Calibri"/>
                <w:b/>
                <w:bCs/>
                <w:noProof/>
              </w:rPr>
              <w:t>4</w:t>
            </w:r>
          </w:p>
        </w:tc>
        <w:tc>
          <w:tcPr>
            <w:tcW w:w="4961" w:type="dxa"/>
          </w:tcPr>
          <w:p w:rsidR="005941FC" w:rsidRPr="005941FC" w:rsidRDefault="00FD251B" w:rsidP="005941FC">
            <w:pPr>
              <w:tabs>
                <w:tab w:val="left" w:pos="4530"/>
              </w:tabs>
              <w:jc w:val="center"/>
              <w:rPr>
                <w:rFonts w:ascii="Calibri" w:hAnsi="Calibri"/>
                <w:b/>
                <w:bCs/>
                <w:noProof/>
              </w:rPr>
            </w:pPr>
            <w:r>
              <w:rPr>
                <w:rFonts w:ascii="Calibri" w:hAnsi="Calibri"/>
                <w:b/>
                <w:bCs/>
                <w:noProof/>
              </w:rPr>
              <w:t xml:space="preserve">Γράφημα </w:t>
            </w:r>
            <w:r w:rsidR="00810D7C">
              <w:rPr>
                <w:rFonts w:ascii="Calibri" w:hAnsi="Calibri"/>
                <w:b/>
                <w:bCs/>
                <w:noProof/>
              </w:rPr>
              <w:t>5</w:t>
            </w:r>
          </w:p>
        </w:tc>
      </w:tr>
    </w:tbl>
    <w:p w:rsidR="005941FC" w:rsidRPr="005941FC" w:rsidRDefault="005941FC" w:rsidP="005941FC">
      <w:pPr>
        <w:tabs>
          <w:tab w:val="left" w:pos="4530"/>
        </w:tabs>
        <w:spacing w:after="0" w:line="240" w:lineRule="auto"/>
        <w:jc w:val="both"/>
        <w:rPr>
          <w:rFonts w:ascii="Calibri" w:eastAsia="Times New Roman" w:hAnsi="Calibri" w:cs="Times New Roman"/>
          <w:b/>
          <w:bCs/>
          <w:noProof/>
          <w:sz w:val="20"/>
          <w:szCs w:val="20"/>
          <w:lang w:eastAsia="el-GR"/>
        </w:rPr>
      </w:pPr>
      <w:r w:rsidRPr="005941FC">
        <w:rPr>
          <w:rFonts w:ascii="Calibri" w:eastAsia="Times New Roman" w:hAnsi="Calibri" w:cs="Times New Roman"/>
          <w:b/>
          <w:bCs/>
          <w:noProof/>
          <w:sz w:val="20"/>
          <w:szCs w:val="20"/>
          <w:lang w:eastAsia="el-GR"/>
        </w:rPr>
        <w:drawing>
          <wp:inline distT="0" distB="0" distL="0" distR="0" wp14:anchorId="27F630C1" wp14:editId="2AB9277E">
            <wp:extent cx="3009900" cy="2758440"/>
            <wp:effectExtent l="0" t="0" r="19050" b="22860"/>
            <wp:docPr id="3" name="Γράφημα 16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5941FC">
        <w:rPr>
          <w:rFonts w:ascii="Calibri" w:eastAsia="Times New Roman" w:hAnsi="Calibri" w:cs="Times New Roman"/>
          <w:b/>
          <w:bCs/>
          <w:noProof/>
          <w:sz w:val="20"/>
          <w:szCs w:val="20"/>
          <w:lang w:eastAsia="el-GR"/>
        </w:rPr>
        <w:drawing>
          <wp:inline distT="0" distB="0" distL="0" distR="0" wp14:anchorId="1C2CDC46" wp14:editId="000B388F">
            <wp:extent cx="3139440" cy="2766060"/>
            <wp:effectExtent l="0" t="0" r="22860" b="15240"/>
            <wp:docPr id="4" name="Γράφημα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941FC" w:rsidRPr="005941FC" w:rsidRDefault="005941FC" w:rsidP="005941FC">
      <w:pPr>
        <w:tabs>
          <w:tab w:val="left" w:pos="4530"/>
        </w:tabs>
        <w:spacing w:after="0" w:line="240" w:lineRule="auto"/>
        <w:jc w:val="both"/>
        <w:rPr>
          <w:rFonts w:ascii="Calibri" w:eastAsia="Times New Roman" w:hAnsi="Calibri" w:cs="Times New Roman"/>
          <w:b/>
          <w:bCs/>
          <w:noProof/>
          <w:sz w:val="20"/>
          <w:szCs w:val="20"/>
          <w:lang w:eastAsia="el-GR"/>
        </w:rPr>
      </w:pPr>
    </w:p>
    <w:p w:rsidR="005941FC" w:rsidRPr="005941FC" w:rsidRDefault="005941FC" w:rsidP="005941FC">
      <w:pPr>
        <w:tabs>
          <w:tab w:val="left" w:pos="4530"/>
        </w:tabs>
        <w:spacing w:after="0" w:line="240" w:lineRule="auto"/>
        <w:jc w:val="both"/>
        <w:rPr>
          <w:rFonts w:ascii="Calibri" w:eastAsia="Times New Roman" w:hAnsi="Calibri" w:cs="Times New Roman"/>
          <w:b/>
          <w:bCs/>
          <w:noProof/>
          <w:sz w:val="20"/>
          <w:szCs w:val="20"/>
          <w:lang w:eastAsia="el-GR"/>
        </w:rPr>
      </w:pPr>
    </w:p>
    <w:p w:rsidR="005941FC" w:rsidRPr="005941FC" w:rsidRDefault="005941FC" w:rsidP="005941FC">
      <w:pPr>
        <w:tabs>
          <w:tab w:val="left" w:pos="4530"/>
        </w:tabs>
        <w:spacing w:after="0" w:line="240" w:lineRule="auto"/>
        <w:jc w:val="both"/>
        <w:rPr>
          <w:rFonts w:ascii="Calibri" w:eastAsia="Times New Roman" w:hAnsi="Calibri" w:cs="Times New Roman"/>
          <w:b/>
          <w:bCs/>
          <w:noProof/>
          <w:sz w:val="20"/>
          <w:szCs w:val="20"/>
          <w:lang w:eastAsia="el-GR"/>
        </w:rPr>
      </w:pPr>
      <w:r w:rsidRPr="005941FC">
        <w:rPr>
          <w:rFonts w:ascii="Times New Roman" w:eastAsia="Times New Roman" w:hAnsi="Times New Roman" w:cs="Times New Roman"/>
          <w:noProof/>
          <w:sz w:val="24"/>
          <w:szCs w:val="24"/>
          <w:lang w:eastAsia="el-GR"/>
        </w:rPr>
        <w:drawing>
          <wp:inline distT="0" distB="0" distL="0" distR="0" wp14:anchorId="6005D05D" wp14:editId="5A1758CD">
            <wp:extent cx="6267450" cy="2733675"/>
            <wp:effectExtent l="0" t="0" r="19050" b="9525"/>
            <wp:docPr id="5" name="Γράφημα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941FC" w:rsidRPr="005941FC" w:rsidRDefault="005941FC" w:rsidP="005941FC">
      <w:pPr>
        <w:tabs>
          <w:tab w:val="left" w:pos="4530"/>
        </w:tabs>
        <w:spacing w:after="0" w:line="240" w:lineRule="auto"/>
        <w:jc w:val="both"/>
        <w:rPr>
          <w:rFonts w:ascii="Calibri" w:eastAsia="Times New Roman" w:hAnsi="Calibri" w:cs="Times New Roman"/>
          <w:b/>
          <w:bCs/>
          <w:noProof/>
          <w:sz w:val="20"/>
          <w:szCs w:val="20"/>
          <w:lang w:eastAsia="el-GR"/>
        </w:rPr>
      </w:pPr>
    </w:p>
    <w:p w:rsidR="005941FC" w:rsidRPr="005941FC" w:rsidRDefault="005941FC" w:rsidP="005941FC">
      <w:pPr>
        <w:tabs>
          <w:tab w:val="left" w:pos="4530"/>
        </w:tabs>
        <w:spacing w:after="0" w:line="240" w:lineRule="auto"/>
        <w:jc w:val="both"/>
        <w:rPr>
          <w:rFonts w:ascii="Calibri" w:eastAsia="Times New Roman" w:hAnsi="Calibri" w:cs="Times New Roman"/>
          <w:b/>
          <w:bCs/>
          <w:noProof/>
          <w:sz w:val="20"/>
          <w:szCs w:val="20"/>
          <w:lang w:eastAsia="el-GR"/>
        </w:rPr>
      </w:pPr>
    </w:p>
    <w:p w:rsidR="00A958F9" w:rsidRPr="00A958F9" w:rsidRDefault="00A958F9" w:rsidP="00A958F9">
      <w:pPr>
        <w:spacing w:after="0" w:line="360" w:lineRule="auto"/>
        <w:jc w:val="both"/>
        <w:rPr>
          <w:rFonts w:ascii="Times New Roman" w:eastAsia="Times New Roman" w:hAnsi="Times New Roman" w:cs="Times New Roman"/>
          <w:b/>
          <w:bCs/>
          <w:noProof/>
          <w:sz w:val="24"/>
          <w:szCs w:val="24"/>
          <w:u w:val="single"/>
          <w:lang w:eastAsia="el-GR"/>
        </w:rPr>
      </w:pPr>
      <w:r w:rsidRPr="00A958F9">
        <w:rPr>
          <w:rFonts w:ascii="Times New Roman" w:eastAsia="Times New Roman" w:hAnsi="Times New Roman" w:cs="Times New Roman"/>
          <w:b/>
          <w:bCs/>
          <w:noProof/>
          <w:sz w:val="24"/>
          <w:szCs w:val="24"/>
          <w:u w:val="single"/>
          <w:lang w:eastAsia="el-GR"/>
        </w:rPr>
        <w:t>Ρευστότητα – Επενδύσεις</w:t>
      </w:r>
    </w:p>
    <w:p w:rsidR="00A958F9" w:rsidRPr="00A958F9" w:rsidRDefault="00A958F9" w:rsidP="00A958F9">
      <w:pPr>
        <w:spacing w:after="0" w:line="360" w:lineRule="auto"/>
        <w:jc w:val="both"/>
        <w:rPr>
          <w:rFonts w:ascii="Arial Narrow" w:eastAsia="Times New Roman" w:hAnsi="Arial Narrow" w:cs="Times New Roman"/>
          <w:bCs/>
          <w:noProof/>
          <w:sz w:val="24"/>
          <w:szCs w:val="24"/>
          <w:lang w:eastAsia="el-GR"/>
        </w:rPr>
      </w:pPr>
      <w:r w:rsidRPr="00A958F9">
        <w:rPr>
          <w:rFonts w:ascii="Times New Roman" w:eastAsia="Times New Roman" w:hAnsi="Times New Roman" w:cs="Times New Roman"/>
          <w:bCs/>
          <w:noProof/>
          <w:sz w:val="24"/>
          <w:szCs w:val="24"/>
          <w:lang w:eastAsia="el-GR"/>
        </w:rPr>
        <w:t>Ο δείκτης ρευστότητας εάν και βελτιωμένος συνεχίζει να καταγράφει χαμηλές επιδόσεις σε σύγκριση με τους υπόλοιπους δείκτες (53 μονάδες, που σημαίνει ότι περίπου 1 στις 2 επιχειρήσεις ενδέχεται να αντιμετωπίζουν προβλήματα ρευστότητας) (Γράφημα 7)</w:t>
      </w:r>
      <w:r w:rsidR="00C92675">
        <w:rPr>
          <w:rFonts w:ascii="Times New Roman" w:eastAsia="Times New Roman" w:hAnsi="Times New Roman" w:cs="Times New Roman"/>
          <w:bCs/>
          <w:noProof/>
          <w:sz w:val="24"/>
          <w:szCs w:val="24"/>
          <w:lang w:eastAsia="el-GR"/>
        </w:rPr>
        <w:t>,</w:t>
      </w:r>
      <w:r w:rsidRPr="00A958F9">
        <w:rPr>
          <w:rFonts w:ascii="Times New Roman" w:eastAsia="Times New Roman" w:hAnsi="Times New Roman" w:cs="Times New Roman"/>
          <w:bCs/>
          <w:noProof/>
          <w:sz w:val="24"/>
          <w:szCs w:val="24"/>
          <w:lang w:eastAsia="el-GR"/>
        </w:rPr>
        <w:t xml:space="preserve"> επιβεβαιώνοντας ότι η απουσία ή αδυναμία πρόσβασης σε χρηματοοικονομικά εργαλεία αποτελούν μόνιμο διαρθρωτικό χαρακτηριστικό της ελληνικής μικρής και πολύ μικρής επιχειρηματικότητας, και ως τέτοιο επηρεάζει τις προοπτικές ανάκαμψης ιδίως των πολύ μικρών επιχειρήσεων.</w:t>
      </w:r>
    </w:p>
    <w:p w:rsidR="00D04F64" w:rsidRPr="00A958F9" w:rsidRDefault="00D04F64" w:rsidP="00A958F9">
      <w:pPr>
        <w:spacing w:after="0" w:line="360" w:lineRule="auto"/>
        <w:jc w:val="both"/>
        <w:rPr>
          <w:rFonts w:ascii="Times New Roman" w:eastAsia="Times New Roman" w:hAnsi="Times New Roman" w:cs="Times New Roman"/>
          <w:b/>
          <w:bCs/>
          <w:noProof/>
          <w:sz w:val="24"/>
          <w:szCs w:val="24"/>
          <w:lang w:eastAsia="el-GR"/>
        </w:rPr>
      </w:pPr>
      <w:r>
        <w:rPr>
          <w:noProof/>
          <w:lang w:eastAsia="el-GR"/>
        </w:rPr>
        <w:drawing>
          <wp:inline distT="0" distB="0" distL="0" distR="0" wp14:anchorId="2C63F246" wp14:editId="115233A3">
            <wp:extent cx="6086475" cy="2466975"/>
            <wp:effectExtent l="0" t="0" r="9525" b="9525"/>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332DF" w:rsidRPr="00A958F9" w:rsidRDefault="00B332DF" w:rsidP="00A958F9">
      <w:pPr>
        <w:spacing w:after="0" w:line="360" w:lineRule="auto"/>
        <w:jc w:val="both"/>
        <w:rPr>
          <w:rFonts w:ascii="Times New Roman" w:hAnsi="Times New Roman" w:cs="Times New Roman"/>
          <w:sz w:val="24"/>
          <w:szCs w:val="24"/>
        </w:rPr>
      </w:pPr>
      <w:r w:rsidRPr="00A958F9">
        <w:rPr>
          <w:rFonts w:ascii="Times New Roman" w:hAnsi="Times New Roman" w:cs="Times New Roman"/>
          <w:sz w:val="24"/>
          <w:szCs w:val="24"/>
        </w:rPr>
        <w:t>Αλλωστε σε ακόμη μια έρευνα του ΙΜΕ ΓΣΕΒΕΕ καταγράφεται η απουσία τραπεζικής χρηματοδοτόσης ιδίως των πολύ μικρών επιχειρήσεων. Αποτελεί πλέον διαχρονικό χαρακτηριστικό ότι 9 στις 10 (90,4%) μικρές και πολύ μικρές επιχειρήσεις δεν αναζητούν τραπεζική χρηματοδότηση ενώ από τις λίγες επιχειρήσεις που απευθύνονται προς τις τράπεζες τελικά μόνο οι μισές χρηματοδοτούνται</w:t>
      </w:r>
      <w:r w:rsidR="002625BB" w:rsidRPr="00A958F9">
        <w:rPr>
          <w:rFonts w:ascii="Times New Roman" w:hAnsi="Times New Roman" w:cs="Times New Roman"/>
          <w:sz w:val="24"/>
          <w:szCs w:val="24"/>
        </w:rPr>
        <w:t xml:space="preserve"> (Γράφημα 8)</w:t>
      </w:r>
      <w:r w:rsidRPr="00A958F9">
        <w:rPr>
          <w:rFonts w:ascii="Times New Roman" w:hAnsi="Times New Roman" w:cs="Times New Roman"/>
          <w:sz w:val="24"/>
          <w:szCs w:val="24"/>
        </w:rPr>
        <w:t>.  Αυτό είναι κάτι που θα πρέπει να προβληματίσει καθώς η δυσκολία του χρηματοπιστωτικού τομέα να χρηματοδοτήσει την πραγματική οικονομία έχει εξελιχθεί σε ένα σοβαρό διαρθρωτικό πρόβλημα που καθηλώνει τις προοπτικές ανάπτυξης. Η θεσμοθέτηση από την προηγούμενη κυβέρνηση κα</w:t>
      </w:r>
      <w:r w:rsidR="00C92675">
        <w:rPr>
          <w:rFonts w:ascii="Times New Roman" w:hAnsi="Times New Roman" w:cs="Times New Roman"/>
          <w:sz w:val="24"/>
          <w:szCs w:val="24"/>
        </w:rPr>
        <w:t xml:space="preserve">ι η αναμενόμενη δημιουργία και </w:t>
      </w:r>
      <w:r w:rsidRPr="00A958F9">
        <w:rPr>
          <w:rFonts w:ascii="Times New Roman" w:hAnsi="Times New Roman" w:cs="Times New Roman"/>
          <w:sz w:val="24"/>
          <w:szCs w:val="24"/>
        </w:rPr>
        <w:t>λειτουργία από την σημερινή κυβέρνηση της Ελληνικής Αναπτυξιακής Τράπεζας που θα επικε</w:t>
      </w:r>
      <w:r w:rsidR="00C509D1">
        <w:rPr>
          <w:rFonts w:ascii="Times New Roman" w:hAnsi="Times New Roman" w:cs="Times New Roman"/>
          <w:sz w:val="24"/>
          <w:szCs w:val="24"/>
        </w:rPr>
        <w:t>ντρώ</w:t>
      </w:r>
      <w:r w:rsidRPr="00A958F9">
        <w:rPr>
          <w:rFonts w:ascii="Times New Roman" w:hAnsi="Times New Roman" w:cs="Times New Roman"/>
          <w:sz w:val="24"/>
          <w:szCs w:val="24"/>
        </w:rPr>
        <w:t>νεται στις ανάγκες των μικρών και πολύ μικρών επιχ</w:t>
      </w:r>
      <w:r w:rsidR="00C509D1">
        <w:rPr>
          <w:rFonts w:ascii="Times New Roman" w:hAnsi="Times New Roman" w:cs="Times New Roman"/>
          <w:sz w:val="24"/>
          <w:szCs w:val="24"/>
        </w:rPr>
        <w:t>ειρήσεων παρέχοντας τόσο κεφάλαι</w:t>
      </w:r>
      <w:r w:rsidRPr="00A958F9">
        <w:rPr>
          <w:rFonts w:ascii="Times New Roman" w:hAnsi="Times New Roman" w:cs="Times New Roman"/>
          <w:sz w:val="24"/>
          <w:szCs w:val="24"/>
        </w:rPr>
        <w:t>α για την πραγματοποίηση</w:t>
      </w:r>
      <w:r w:rsidR="00A958F9" w:rsidRPr="00A958F9">
        <w:rPr>
          <w:rFonts w:ascii="Times New Roman" w:hAnsi="Times New Roman" w:cs="Times New Roman"/>
          <w:sz w:val="24"/>
          <w:szCs w:val="24"/>
        </w:rPr>
        <w:t xml:space="preserve"> επενδύσεων όσο και κεφαλάια για την καθημερινή λειτουργία των επιχειρήσεων όπως δάνεια μικροχρηματοδότησης ή ακόμα και υπηρεσίες factoring (ιδίως προεξόφλησης τιμολογίων) μπορεί να απελευθερώσει παραγωγικές δυνάμεις με έντονο αναπτυξιακό αποτύπωμα.</w:t>
      </w:r>
    </w:p>
    <w:p w:rsidR="00A958F9" w:rsidRDefault="00A958F9" w:rsidP="00D04F64">
      <w:pPr>
        <w:tabs>
          <w:tab w:val="left" w:pos="4530"/>
        </w:tabs>
        <w:spacing w:after="0" w:line="240" w:lineRule="auto"/>
        <w:jc w:val="both"/>
        <w:rPr>
          <w:rFonts w:ascii="Times New Roman" w:eastAsia="Times New Roman" w:hAnsi="Times New Roman" w:cs="Times New Roman"/>
          <w:b/>
          <w:bCs/>
          <w:noProof/>
          <w:sz w:val="24"/>
          <w:szCs w:val="24"/>
          <w:lang w:eastAsia="el-GR"/>
        </w:rPr>
      </w:pPr>
    </w:p>
    <w:p w:rsidR="00A958F9" w:rsidRDefault="00A958F9" w:rsidP="00D04F64">
      <w:pPr>
        <w:tabs>
          <w:tab w:val="left" w:pos="4530"/>
        </w:tabs>
        <w:spacing w:after="0" w:line="240" w:lineRule="auto"/>
        <w:jc w:val="both"/>
        <w:rPr>
          <w:rFonts w:ascii="Times New Roman" w:eastAsia="Times New Roman" w:hAnsi="Times New Roman" w:cs="Times New Roman"/>
          <w:b/>
          <w:bCs/>
          <w:noProof/>
          <w:sz w:val="24"/>
          <w:szCs w:val="24"/>
          <w:lang w:eastAsia="el-GR"/>
        </w:rPr>
      </w:pPr>
    </w:p>
    <w:p w:rsidR="00A958F9" w:rsidRDefault="00A958F9" w:rsidP="00D04F64">
      <w:pPr>
        <w:tabs>
          <w:tab w:val="left" w:pos="4530"/>
        </w:tabs>
        <w:spacing w:after="0" w:line="240" w:lineRule="auto"/>
        <w:jc w:val="both"/>
        <w:rPr>
          <w:rFonts w:ascii="Times New Roman" w:eastAsia="Times New Roman" w:hAnsi="Times New Roman" w:cs="Times New Roman"/>
          <w:b/>
          <w:bCs/>
          <w:noProof/>
          <w:sz w:val="24"/>
          <w:szCs w:val="24"/>
          <w:lang w:eastAsia="el-GR"/>
        </w:rPr>
      </w:pPr>
    </w:p>
    <w:p w:rsidR="00A958F9" w:rsidRDefault="00A958F9" w:rsidP="00D04F64">
      <w:pPr>
        <w:tabs>
          <w:tab w:val="left" w:pos="4530"/>
        </w:tabs>
        <w:spacing w:after="0" w:line="240" w:lineRule="auto"/>
        <w:jc w:val="both"/>
        <w:rPr>
          <w:rFonts w:ascii="Times New Roman" w:eastAsia="Times New Roman" w:hAnsi="Times New Roman" w:cs="Times New Roman"/>
          <w:b/>
          <w:bCs/>
          <w:noProof/>
          <w:sz w:val="24"/>
          <w:szCs w:val="24"/>
          <w:lang w:eastAsia="el-GR"/>
        </w:rPr>
      </w:pPr>
    </w:p>
    <w:p w:rsidR="00A958F9" w:rsidRDefault="00A958F9" w:rsidP="00D04F64">
      <w:pPr>
        <w:tabs>
          <w:tab w:val="left" w:pos="4530"/>
        </w:tabs>
        <w:spacing w:after="0" w:line="240" w:lineRule="auto"/>
        <w:jc w:val="both"/>
        <w:rPr>
          <w:rFonts w:ascii="Times New Roman" w:eastAsia="Times New Roman" w:hAnsi="Times New Roman" w:cs="Times New Roman"/>
          <w:b/>
          <w:bCs/>
          <w:noProof/>
          <w:sz w:val="24"/>
          <w:szCs w:val="24"/>
          <w:lang w:eastAsia="el-GR"/>
        </w:rPr>
      </w:pPr>
    </w:p>
    <w:p w:rsidR="00D04F64" w:rsidRPr="00A958F9" w:rsidRDefault="00D04F64" w:rsidP="00D04F64">
      <w:pPr>
        <w:tabs>
          <w:tab w:val="left" w:pos="4530"/>
        </w:tabs>
        <w:spacing w:after="0" w:line="240" w:lineRule="auto"/>
        <w:jc w:val="both"/>
        <w:rPr>
          <w:rFonts w:ascii="Times New Roman" w:eastAsia="Times New Roman" w:hAnsi="Times New Roman" w:cs="Times New Roman"/>
          <w:b/>
          <w:bCs/>
          <w:noProof/>
          <w:sz w:val="24"/>
          <w:szCs w:val="24"/>
          <w:lang w:eastAsia="el-GR"/>
        </w:rPr>
      </w:pPr>
      <w:r w:rsidRPr="00A958F9">
        <w:rPr>
          <w:rFonts w:ascii="Times New Roman" w:eastAsia="Times New Roman" w:hAnsi="Times New Roman" w:cs="Times New Roman"/>
          <w:b/>
          <w:bCs/>
          <w:noProof/>
          <w:sz w:val="24"/>
          <w:szCs w:val="24"/>
          <w:lang w:eastAsia="el-GR"/>
        </w:rPr>
        <w:lastRenderedPageBreak/>
        <w:t xml:space="preserve">Γράφημα </w:t>
      </w:r>
      <w:r w:rsidR="001215FE" w:rsidRPr="00A958F9">
        <w:rPr>
          <w:rFonts w:ascii="Times New Roman" w:eastAsia="Times New Roman" w:hAnsi="Times New Roman" w:cs="Times New Roman"/>
          <w:b/>
          <w:bCs/>
          <w:noProof/>
          <w:sz w:val="24"/>
          <w:szCs w:val="24"/>
          <w:lang w:eastAsia="el-GR"/>
        </w:rPr>
        <w:t>8</w:t>
      </w:r>
    </w:p>
    <w:p w:rsidR="00D04F64" w:rsidRPr="00A958F9" w:rsidRDefault="00D04F64" w:rsidP="00D04F64">
      <w:pPr>
        <w:tabs>
          <w:tab w:val="left" w:pos="4530"/>
        </w:tabs>
        <w:spacing w:after="0" w:line="240" w:lineRule="auto"/>
        <w:jc w:val="both"/>
        <w:rPr>
          <w:rFonts w:ascii="Times New Roman" w:eastAsia="Times New Roman" w:hAnsi="Times New Roman" w:cs="Times New Roman"/>
          <w:b/>
          <w:bCs/>
          <w:noProof/>
          <w:sz w:val="24"/>
          <w:szCs w:val="24"/>
          <w:lang w:eastAsia="el-GR"/>
        </w:rPr>
      </w:pPr>
      <w:r w:rsidRPr="00A958F9">
        <w:rPr>
          <w:rFonts w:ascii="Times New Roman" w:eastAsia="Times New Roman" w:hAnsi="Times New Roman" w:cs="Times New Roman"/>
          <w:b/>
          <w:bCs/>
          <w:noProof/>
          <w:sz w:val="24"/>
          <w:szCs w:val="24"/>
          <w:lang w:eastAsia="el-GR"/>
        </w:rPr>
        <w:t>Τους τελευταίους 12 μήνες, έχετε κάνει κάποιο αίτημα χρηματοδότησης σε τράπεζα;</w:t>
      </w:r>
    </w:p>
    <w:p w:rsidR="00D04F64" w:rsidRPr="005941FC" w:rsidRDefault="00D04F64" w:rsidP="00D04F64">
      <w:pPr>
        <w:tabs>
          <w:tab w:val="left" w:pos="4530"/>
        </w:tabs>
        <w:spacing w:after="0" w:line="240" w:lineRule="auto"/>
        <w:jc w:val="both"/>
        <w:rPr>
          <w:rFonts w:ascii="Calibri" w:eastAsia="Times New Roman" w:hAnsi="Calibri" w:cs="Times New Roman"/>
          <w:b/>
          <w:bCs/>
          <w:noProof/>
          <w:sz w:val="20"/>
          <w:szCs w:val="20"/>
          <w:lang w:eastAsia="el-GR"/>
        </w:rPr>
      </w:pPr>
    </w:p>
    <w:p w:rsidR="00D04F64" w:rsidRDefault="002625BB" w:rsidP="00B332DF">
      <w:pPr>
        <w:jc w:val="both"/>
        <w:rPr>
          <w:rFonts w:ascii="Arial Black" w:hAnsi="Arial Black"/>
          <w:highlight w:val="yellow"/>
        </w:rPr>
      </w:pPr>
      <w:r w:rsidRPr="00A958F9">
        <w:rPr>
          <w:rFonts w:ascii="Arial Black" w:hAnsi="Arial Black"/>
          <w:noProof/>
          <w:lang w:eastAsia="el-GR"/>
        </w:rPr>
        <w:drawing>
          <wp:inline distT="0" distB="0" distL="0" distR="0" wp14:anchorId="6E1D577D" wp14:editId="76B24394">
            <wp:extent cx="5486400" cy="2752725"/>
            <wp:effectExtent l="0" t="0" r="19050" b="9525"/>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332DF" w:rsidRPr="00A958F9" w:rsidRDefault="00B332DF" w:rsidP="00A958F9">
      <w:pPr>
        <w:spacing w:after="0" w:line="360" w:lineRule="auto"/>
        <w:jc w:val="both"/>
        <w:rPr>
          <w:rFonts w:ascii="Times New Roman" w:hAnsi="Times New Roman" w:cs="Times New Roman"/>
          <w:sz w:val="24"/>
          <w:szCs w:val="24"/>
        </w:rPr>
      </w:pPr>
      <w:r w:rsidRPr="00A958F9">
        <w:rPr>
          <w:rFonts w:ascii="Times New Roman" w:hAnsi="Times New Roman" w:cs="Times New Roman"/>
          <w:sz w:val="24"/>
          <w:szCs w:val="24"/>
        </w:rPr>
        <w:t>Ειδικότερα για την ρευστότητα των επιχειρήσεων το Α εξάμηνο του 2019 το 14,6% δήλωσε ότι αυξήθηκε, το 37,8% ότι παρέμεινε αμετάβλητη, ενώ το 46,4% δήλωσε ότι μειώθηκε</w:t>
      </w:r>
      <w:r w:rsidR="001215FE" w:rsidRPr="00A958F9">
        <w:rPr>
          <w:rFonts w:ascii="Times New Roman" w:hAnsi="Times New Roman" w:cs="Times New Roman"/>
          <w:sz w:val="24"/>
          <w:szCs w:val="24"/>
        </w:rPr>
        <w:t xml:space="preserve"> (Γράφημα 9)</w:t>
      </w:r>
      <w:r w:rsidRPr="00A958F9">
        <w:rPr>
          <w:rFonts w:ascii="Times New Roman" w:hAnsi="Times New Roman" w:cs="Times New Roman"/>
          <w:sz w:val="24"/>
          <w:szCs w:val="24"/>
        </w:rPr>
        <w:t>. Τα μεγαλύτερα προβλήματα ρευστότητας καταγράφονται στις πολύ μικρές με βάση τον τζίρο και τον αριθμό εργαζομένων επιχειρήσεις (για το 54,6% και το  51,1% αντίστοιχα η ρευστότητα μειώθηκε).</w:t>
      </w:r>
    </w:p>
    <w:p w:rsidR="001215FE" w:rsidRPr="00A958F9" w:rsidRDefault="001215FE" w:rsidP="00A958F9">
      <w:pPr>
        <w:spacing w:after="0" w:line="240" w:lineRule="auto"/>
        <w:jc w:val="center"/>
        <w:rPr>
          <w:rFonts w:ascii="Times New Roman" w:hAnsi="Times New Roman" w:cs="Times New Roman"/>
          <w:b/>
          <w:sz w:val="24"/>
          <w:szCs w:val="24"/>
        </w:rPr>
      </w:pPr>
      <w:r w:rsidRPr="00A958F9">
        <w:rPr>
          <w:rFonts w:ascii="Times New Roman" w:hAnsi="Times New Roman" w:cs="Times New Roman"/>
          <w:b/>
          <w:sz w:val="24"/>
          <w:szCs w:val="24"/>
        </w:rPr>
        <w:t>Γράφημα 9 - ΡΕΥΣΤΟΤΗΤΑ - ΑΠΟΤΙΜΗΣΗ ΤΕΛΕΥΤΑΙΟΥ ΕΞΑΜΗΝΟΥ</w:t>
      </w:r>
    </w:p>
    <w:p w:rsidR="001215FE" w:rsidRPr="00A958F9" w:rsidRDefault="001215FE" w:rsidP="00A958F9">
      <w:pPr>
        <w:spacing w:after="0" w:line="240" w:lineRule="auto"/>
        <w:jc w:val="center"/>
        <w:rPr>
          <w:rFonts w:ascii="Times New Roman" w:hAnsi="Times New Roman" w:cs="Times New Roman"/>
          <w:b/>
          <w:sz w:val="24"/>
          <w:szCs w:val="24"/>
        </w:rPr>
      </w:pPr>
      <w:r w:rsidRPr="00A958F9">
        <w:rPr>
          <w:rFonts w:ascii="Times New Roman" w:hAnsi="Times New Roman" w:cs="Times New Roman"/>
          <w:b/>
          <w:sz w:val="24"/>
          <w:szCs w:val="24"/>
        </w:rPr>
        <w:t>ΣΥΓΚΡΙΣΗ ΜΕ ΠΡΟΗΓΟΥΜΕΝΕΣ ΕΡΕΥΝΕΣ</w:t>
      </w:r>
    </w:p>
    <w:p w:rsidR="001215FE" w:rsidRDefault="001215FE" w:rsidP="00B332DF">
      <w:pPr>
        <w:jc w:val="both"/>
        <w:rPr>
          <w:rFonts w:ascii="Arial Black" w:hAnsi="Arial Black"/>
        </w:rPr>
      </w:pPr>
      <w:r w:rsidRPr="001215FE">
        <w:rPr>
          <w:rFonts w:ascii="Arial Black" w:hAnsi="Arial Black"/>
          <w:noProof/>
          <w:lang w:eastAsia="el-GR"/>
        </w:rPr>
        <w:drawing>
          <wp:inline distT="0" distB="0" distL="0" distR="0" wp14:anchorId="25AB02C7" wp14:editId="2C964996">
            <wp:extent cx="6477000" cy="3495675"/>
            <wp:effectExtent l="0" t="0" r="19050" b="9525"/>
            <wp:docPr id="4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958F9" w:rsidRPr="00A958F9" w:rsidRDefault="00A958F9" w:rsidP="00F87594">
      <w:pPr>
        <w:spacing w:after="0" w:line="360" w:lineRule="auto"/>
        <w:jc w:val="both"/>
        <w:rPr>
          <w:rFonts w:ascii="Times New Roman" w:hAnsi="Times New Roman" w:cs="Times New Roman"/>
          <w:sz w:val="24"/>
          <w:szCs w:val="24"/>
        </w:rPr>
      </w:pPr>
      <w:r w:rsidRPr="00A958F9">
        <w:rPr>
          <w:rFonts w:ascii="Times New Roman" w:hAnsi="Times New Roman" w:cs="Times New Roman"/>
          <w:sz w:val="24"/>
          <w:szCs w:val="24"/>
        </w:rPr>
        <w:lastRenderedPageBreak/>
        <w:t>Τις καλύτερες επιδόσεις στον δείκτη ρευστότητας καταγράφουν οι μεγαλύτερες με βάση τον τζίρο και τον αριθμό εργαζομένων επιχειρήσεις (20,4% αυξήθηκε και 40,1% αμετάβλητη, 23,7% αυξήθηκε και 34,9% αμετάβλητη αντίστοιχα). Ως προς τους κλάδους την καλύτερη επίδοση καταγράφει ο κλάδος της μεταποίησης (20% αυξήθηκε και 36,4% αμετάβλητη).</w:t>
      </w:r>
    </w:p>
    <w:p w:rsidR="00A958F9" w:rsidRDefault="00A958F9" w:rsidP="00F87594">
      <w:pPr>
        <w:spacing w:after="0" w:line="360" w:lineRule="auto"/>
        <w:jc w:val="both"/>
        <w:rPr>
          <w:rFonts w:ascii="Times New Roman" w:hAnsi="Times New Roman" w:cs="Times New Roman"/>
          <w:sz w:val="24"/>
          <w:szCs w:val="24"/>
        </w:rPr>
      </w:pPr>
      <w:r w:rsidRPr="00A958F9">
        <w:rPr>
          <w:rFonts w:ascii="Times New Roman" w:hAnsi="Times New Roman" w:cs="Times New Roman"/>
          <w:sz w:val="24"/>
          <w:szCs w:val="24"/>
        </w:rPr>
        <w:t>Γενικά</w:t>
      </w:r>
      <w:r w:rsidR="00C92675">
        <w:rPr>
          <w:rFonts w:ascii="Times New Roman" w:hAnsi="Times New Roman" w:cs="Times New Roman"/>
          <w:sz w:val="24"/>
          <w:szCs w:val="24"/>
        </w:rPr>
        <w:t>,</w:t>
      </w:r>
      <w:r w:rsidRPr="00A958F9">
        <w:rPr>
          <w:rFonts w:ascii="Times New Roman" w:hAnsi="Times New Roman" w:cs="Times New Roman"/>
          <w:sz w:val="24"/>
          <w:szCs w:val="24"/>
        </w:rPr>
        <w:t xml:space="preserve"> ο κλάδος της μεταποίησης παρουσιάζει καλύτερες επιδόσεις σε σχέση με το εμπόριο και τις υπηρεσίες. Η βελτίωση των δεικτών της μεταποίησης δικαιολογούνται και από το εύρημα ότι κατά μ.ο. οι μικρές μεταποιητικές επιχειρήσεις αξιοποιούν το 60,7% του παραγωγικού τους δυναμικού. Παρόλο που το ποσοστό αυτό υπολείπεται αρκετά από το να χαρακτηριστεί ως ικανοποιητικό, εντούτοις παρουσιάζει μια αύξηση της δραστηριότητας των μεταποιητικών επιχειρήσεων καθώς είναι αρκετά βελτιωμένη σε σχέση με το 2017 όπου σε αντίστοιχη ερώτηση οι μεταποιητικές επιχειρήσεις  αξιοποιούσαν κατά μ.ε. το 51,3% του παραγωγικού τους δυναμικού.</w:t>
      </w:r>
    </w:p>
    <w:p w:rsidR="00F87594" w:rsidRPr="00F87594" w:rsidRDefault="00F87594" w:rsidP="00F87594">
      <w:pPr>
        <w:spacing w:after="0" w:line="360" w:lineRule="auto"/>
        <w:jc w:val="both"/>
        <w:rPr>
          <w:rFonts w:ascii="Times New Roman" w:eastAsia="Times New Roman" w:hAnsi="Times New Roman" w:cs="Times New Roman"/>
          <w:color w:val="222222"/>
          <w:sz w:val="24"/>
          <w:szCs w:val="24"/>
          <w:lang w:eastAsia="el-GR"/>
        </w:rPr>
      </w:pPr>
      <w:r w:rsidRPr="00F87594">
        <w:rPr>
          <w:rFonts w:ascii="Times New Roman" w:eastAsia="Times New Roman" w:hAnsi="Times New Roman" w:cs="Times New Roman"/>
          <w:color w:val="222222"/>
          <w:sz w:val="24"/>
          <w:szCs w:val="24"/>
          <w:lang w:eastAsia="el-GR"/>
        </w:rPr>
        <w:t>Ως προς την επενδυτική δραστηριότητα τα τα στοιχεία του Α εξαμήνου του 2019 είναι ελαφρώς κ</w:t>
      </w:r>
      <w:r w:rsidR="00C92675">
        <w:rPr>
          <w:rFonts w:ascii="Times New Roman" w:eastAsia="Times New Roman" w:hAnsi="Times New Roman" w:cs="Times New Roman"/>
          <w:color w:val="222222"/>
          <w:sz w:val="24"/>
          <w:szCs w:val="24"/>
          <w:lang w:eastAsia="el-GR"/>
        </w:rPr>
        <w:t>αλύτερα σε σχέση με εκείνα του Β</w:t>
      </w:r>
      <w:r w:rsidRPr="00F87594">
        <w:rPr>
          <w:rFonts w:ascii="Times New Roman" w:eastAsia="Times New Roman" w:hAnsi="Times New Roman" w:cs="Times New Roman"/>
          <w:color w:val="222222"/>
          <w:sz w:val="24"/>
          <w:szCs w:val="24"/>
          <w:lang w:eastAsia="el-GR"/>
        </w:rPr>
        <w:t xml:space="preserve"> εξαμήνου του 2018 σε σχέση με τις επιχειρήσεις που πραγματοποίησαν επενδύσεις. Συγκεκριμένα το 14,9% των ερωτώμενων δήλωσαν ότι αύξησαν την επενδυτική τους δραστηριότητα (13% το Β εξάμηνο του 2018) γεγονός που συμβαδίζει και με τα επίσημα στοιχεία της ΕΛΣΤΑΤ</w:t>
      </w:r>
      <w:r w:rsidRPr="00F87594">
        <w:rPr>
          <w:rStyle w:val="a8"/>
          <w:rFonts w:ascii="Times New Roman" w:eastAsia="Times New Roman" w:hAnsi="Times New Roman" w:cs="Times New Roman"/>
          <w:color w:val="222222"/>
          <w:sz w:val="24"/>
          <w:szCs w:val="24"/>
          <w:lang w:eastAsia="el-GR"/>
        </w:rPr>
        <w:footnoteReference w:id="10"/>
      </w:r>
      <w:r w:rsidR="00C92675">
        <w:rPr>
          <w:rFonts w:ascii="Times New Roman" w:eastAsia="Times New Roman" w:hAnsi="Times New Roman" w:cs="Times New Roman"/>
          <w:color w:val="222222"/>
          <w:sz w:val="24"/>
          <w:szCs w:val="24"/>
          <w:lang w:eastAsia="el-GR"/>
        </w:rPr>
        <w:t>,</w:t>
      </w:r>
      <w:r w:rsidRPr="00F87594">
        <w:rPr>
          <w:rFonts w:ascii="Times New Roman" w:eastAsia="Times New Roman" w:hAnsi="Times New Roman" w:cs="Times New Roman"/>
          <w:color w:val="222222"/>
          <w:sz w:val="24"/>
          <w:szCs w:val="24"/>
          <w:lang w:eastAsia="el-GR"/>
        </w:rPr>
        <w:t> όπου ο ακαθάριστος σχηματισμός παγίου κεφαλαιου για το 1</w:t>
      </w:r>
      <w:r w:rsidRPr="00F87594">
        <w:rPr>
          <w:rFonts w:ascii="Times New Roman" w:eastAsia="Times New Roman" w:hAnsi="Times New Roman" w:cs="Times New Roman"/>
          <w:color w:val="222222"/>
          <w:sz w:val="24"/>
          <w:szCs w:val="24"/>
          <w:vertAlign w:val="superscript"/>
          <w:lang w:eastAsia="el-GR"/>
        </w:rPr>
        <w:t>ο</w:t>
      </w:r>
      <w:r w:rsidRPr="00F87594">
        <w:rPr>
          <w:rFonts w:ascii="Times New Roman" w:eastAsia="Times New Roman" w:hAnsi="Times New Roman" w:cs="Times New Roman"/>
          <w:color w:val="222222"/>
          <w:sz w:val="24"/>
          <w:szCs w:val="24"/>
          <w:lang w:eastAsia="el-GR"/>
        </w:rPr>
        <w:t> τρίμηνο του 2019 εμφανίζεται αυξημένος σε σχέση με το προηγού</w:t>
      </w:r>
      <w:r w:rsidR="00C509D1">
        <w:rPr>
          <w:rFonts w:ascii="Times New Roman" w:eastAsia="Times New Roman" w:hAnsi="Times New Roman" w:cs="Times New Roman"/>
          <w:color w:val="222222"/>
          <w:sz w:val="24"/>
          <w:szCs w:val="24"/>
          <w:lang w:eastAsia="el-GR"/>
        </w:rPr>
        <w:t>μενο τρίμηνο. Ωστόσο παρά την αύ</w:t>
      </w:r>
      <w:r w:rsidRPr="00F87594">
        <w:rPr>
          <w:rFonts w:ascii="Times New Roman" w:eastAsia="Times New Roman" w:hAnsi="Times New Roman" w:cs="Times New Roman"/>
          <w:color w:val="222222"/>
          <w:sz w:val="24"/>
          <w:szCs w:val="24"/>
          <w:lang w:eastAsia="el-GR"/>
        </w:rPr>
        <w:t>ξηση που παρουσιάζουν οι επενδύσεις που πραγματοποιούν οι μικρές και πολύ μικρές επιχειρήσεις στις 4  τελευταίες έρευνες κλίματος του ΙΜΕ ΓΣΕΒΕΕ η επενδυτική δραστηριότητα κινείται σε σχετικά χαμηλά επίπεδα.</w:t>
      </w:r>
    </w:p>
    <w:p w:rsidR="001215FE" w:rsidRPr="00A958F9" w:rsidRDefault="001215FE" w:rsidP="00A958F9">
      <w:pPr>
        <w:spacing w:after="0" w:line="240" w:lineRule="auto"/>
        <w:jc w:val="center"/>
        <w:rPr>
          <w:rFonts w:ascii="Times New Roman" w:hAnsi="Times New Roman" w:cs="Times New Roman"/>
          <w:b/>
          <w:sz w:val="24"/>
          <w:szCs w:val="24"/>
        </w:rPr>
      </w:pPr>
      <w:r w:rsidRPr="00A958F9">
        <w:rPr>
          <w:rFonts w:ascii="Times New Roman" w:hAnsi="Times New Roman" w:cs="Times New Roman"/>
          <w:b/>
          <w:sz w:val="24"/>
          <w:szCs w:val="24"/>
        </w:rPr>
        <w:t>Γράφημα 10 - ΕΠΕΝΔΥΤΙΚΗ ΔΡΑΣΤΗΡΙΟΤΗΤΑ - ΑΠΟΤΙΜΗΣΗ ΤΕΛΕΥΤΑΙΟΥ ΕΞΑΜΗΝΟΥ</w:t>
      </w:r>
    </w:p>
    <w:p w:rsidR="001215FE" w:rsidRPr="00A958F9" w:rsidRDefault="001215FE" w:rsidP="00A958F9">
      <w:pPr>
        <w:spacing w:after="0" w:line="240" w:lineRule="auto"/>
        <w:jc w:val="center"/>
        <w:rPr>
          <w:rFonts w:ascii="Times New Roman" w:hAnsi="Times New Roman" w:cs="Times New Roman"/>
          <w:b/>
          <w:sz w:val="24"/>
          <w:szCs w:val="24"/>
          <w:highlight w:val="yellow"/>
        </w:rPr>
      </w:pPr>
      <w:r w:rsidRPr="00A958F9">
        <w:rPr>
          <w:rFonts w:ascii="Times New Roman" w:hAnsi="Times New Roman" w:cs="Times New Roman"/>
          <w:b/>
          <w:sz w:val="24"/>
          <w:szCs w:val="24"/>
        </w:rPr>
        <w:t>ΣΥΓΚΡΙΣΗ ΜΕ ΠΡΟΗΓΟΥΜΕΝΕΣ ΕΡΕΥΝΕΣ</w:t>
      </w:r>
    </w:p>
    <w:p w:rsidR="001215FE" w:rsidRDefault="001215FE" w:rsidP="00B332DF">
      <w:pPr>
        <w:jc w:val="both"/>
        <w:rPr>
          <w:rFonts w:ascii="Arial Black" w:hAnsi="Arial Black"/>
          <w:highlight w:val="yellow"/>
        </w:rPr>
      </w:pPr>
      <w:r w:rsidRPr="001215FE">
        <w:rPr>
          <w:rFonts w:ascii="Arial Black" w:hAnsi="Arial Black"/>
          <w:noProof/>
          <w:highlight w:val="yellow"/>
          <w:lang w:eastAsia="el-GR"/>
        </w:rPr>
        <w:drawing>
          <wp:inline distT="0" distB="0" distL="0" distR="0" wp14:anchorId="070436FB" wp14:editId="47BDFED8">
            <wp:extent cx="6534150" cy="3057525"/>
            <wp:effectExtent l="0" t="0" r="19050" b="9525"/>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215FE" w:rsidRPr="00B332DF" w:rsidRDefault="001215FE" w:rsidP="00B332DF">
      <w:pPr>
        <w:jc w:val="both"/>
        <w:rPr>
          <w:rFonts w:ascii="Arial Black" w:hAnsi="Arial Black"/>
          <w:highlight w:val="yellow"/>
        </w:rPr>
      </w:pPr>
    </w:p>
    <w:p w:rsidR="00B332DF" w:rsidRPr="00F87594" w:rsidRDefault="00C92675" w:rsidP="00F8759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Εξετάζοντας σε μεγαλύτε</w:t>
      </w:r>
      <w:r w:rsidR="00B332DF" w:rsidRPr="00F87594">
        <w:rPr>
          <w:rFonts w:ascii="Times New Roman" w:hAnsi="Times New Roman" w:cs="Times New Roman"/>
          <w:sz w:val="24"/>
          <w:szCs w:val="24"/>
        </w:rPr>
        <w:t>ρο χρονικό βάθος τις επενδύσεις που πραγματοποίησαν οι Μ</w:t>
      </w:r>
      <w:r w:rsidR="0055426B">
        <w:rPr>
          <w:rFonts w:ascii="Times New Roman" w:hAnsi="Times New Roman" w:cs="Times New Roman"/>
          <w:sz w:val="24"/>
          <w:szCs w:val="24"/>
        </w:rPr>
        <w:t>μΕ την τελευταία τριετία τα ευρήματα της έ</w:t>
      </w:r>
      <w:r w:rsidR="00B332DF" w:rsidRPr="00F87594">
        <w:rPr>
          <w:rFonts w:ascii="Times New Roman" w:hAnsi="Times New Roman" w:cs="Times New Roman"/>
          <w:sz w:val="24"/>
          <w:szCs w:val="24"/>
        </w:rPr>
        <w:t>ρευνας δείχνουν ότι σχεδόν 4 στις 10 επιχειρήσεις (36,6% ) πραγματοποίησαν κάποια μορφής επένδυση</w:t>
      </w:r>
      <w:r w:rsidR="00D53F3E" w:rsidRPr="00F87594">
        <w:rPr>
          <w:rFonts w:ascii="Times New Roman" w:hAnsi="Times New Roman" w:cs="Times New Roman"/>
          <w:sz w:val="24"/>
          <w:szCs w:val="24"/>
        </w:rPr>
        <w:t xml:space="preserve"> (Γράφημα </w:t>
      </w:r>
      <w:r w:rsidR="001215FE" w:rsidRPr="00F87594">
        <w:rPr>
          <w:rFonts w:ascii="Times New Roman" w:hAnsi="Times New Roman" w:cs="Times New Roman"/>
          <w:sz w:val="24"/>
          <w:szCs w:val="24"/>
        </w:rPr>
        <w:t>11</w:t>
      </w:r>
      <w:r w:rsidR="0055426B">
        <w:rPr>
          <w:rFonts w:ascii="Times New Roman" w:hAnsi="Times New Roman" w:cs="Times New Roman"/>
          <w:sz w:val="24"/>
          <w:szCs w:val="24"/>
        </w:rPr>
        <w:t>)</w:t>
      </w:r>
      <w:r w:rsidR="00B332DF" w:rsidRPr="00F87594">
        <w:rPr>
          <w:rFonts w:ascii="Times New Roman" w:hAnsi="Times New Roman" w:cs="Times New Roman"/>
          <w:sz w:val="24"/>
          <w:szCs w:val="24"/>
        </w:rPr>
        <w:t>. Αν και το ποσοστό αυτό φαίνεται αρκετά υψηλό</w:t>
      </w:r>
      <w:r>
        <w:rPr>
          <w:rFonts w:ascii="Times New Roman" w:hAnsi="Times New Roman" w:cs="Times New Roman"/>
          <w:sz w:val="24"/>
          <w:szCs w:val="24"/>
        </w:rPr>
        <w:t>,</w:t>
      </w:r>
      <w:r w:rsidR="00B332DF" w:rsidRPr="00F87594">
        <w:rPr>
          <w:rFonts w:ascii="Times New Roman" w:hAnsi="Times New Roman" w:cs="Times New Roman"/>
          <w:sz w:val="24"/>
          <w:szCs w:val="24"/>
        </w:rPr>
        <w:t xml:space="preserve"> θα πρέπει να υπογραμιστεί ότι η συντριπτική πλειοψηφία των μικρών και πολύ μικρών επιχειρήσεων, δηλαδή το 63%, δήλωσε </w:t>
      </w:r>
      <w:r>
        <w:rPr>
          <w:rFonts w:ascii="Times New Roman" w:hAnsi="Times New Roman" w:cs="Times New Roman"/>
          <w:sz w:val="24"/>
          <w:szCs w:val="24"/>
        </w:rPr>
        <w:t>πως δεν πραγματοποίησε καμία επέ</w:t>
      </w:r>
      <w:r w:rsidR="00B332DF" w:rsidRPr="00F87594">
        <w:rPr>
          <w:rFonts w:ascii="Times New Roman" w:hAnsi="Times New Roman" w:cs="Times New Roman"/>
          <w:sz w:val="24"/>
          <w:szCs w:val="24"/>
        </w:rPr>
        <w:t xml:space="preserve">νδυση την τελευταία τριετία. </w:t>
      </w:r>
    </w:p>
    <w:p w:rsidR="00D53F3E" w:rsidRPr="00F87594" w:rsidRDefault="00D53F3E" w:rsidP="00B332DF">
      <w:pPr>
        <w:jc w:val="both"/>
        <w:rPr>
          <w:rFonts w:ascii="Times New Roman" w:hAnsi="Times New Roman" w:cs="Times New Roman"/>
          <w:b/>
          <w:sz w:val="24"/>
          <w:szCs w:val="24"/>
          <w:highlight w:val="yellow"/>
        </w:rPr>
      </w:pPr>
      <w:r w:rsidRPr="00F87594">
        <w:rPr>
          <w:rFonts w:ascii="Times New Roman" w:hAnsi="Times New Roman" w:cs="Times New Roman"/>
          <w:b/>
          <w:sz w:val="24"/>
          <w:szCs w:val="24"/>
        </w:rPr>
        <w:t>Γράφημα</w:t>
      </w:r>
      <w:r w:rsidR="001215FE" w:rsidRPr="00F87594">
        <w:rPr>
          <w:rFonts w:ascii="Times New Roman" w:hAnsi="Times New Roman" w:cs="Times New Roman"/>
          <w:b/>
          <w:sz w:val="24"/>
          <w:szCs w:val="24"/>
        </w:rPr>
        <w:t xml:space="preserve"> 11</w:t>
      </w:r>
      <w:r w:rsidRPr="00F87594">
        <w:rPr>
          <w:rFonts w:ascii="Times New Roman" w:hAnsi="Times New Roman" w:cs="Times New Roman"/>
          <w:b/>
          <w:sz w:val="24"/>
          <w:szCs w:val="24"/>
        </w:rPr>
        <w:t xml:space="preserve"> : Έχετε πραγματοποιήσει επενδύσεις κατά τα προηγούμενα 3 έτη;</w:t>
      </w:r>
    </w:p>
    <w:p w:rsidR="00D53F3E" w:rsidRDefault="00D53F3E" w:rsidP="00B332DF">
      <w:pPr>
        <w:jc w:val="both"/>
        <w:rPr>
          <w:rFonts w:ascii="Arial Black" w:hAnsi="Arial Black"/>
        </w:rPr>
      </w:pPr>
      <w:r w:rsidRPr="00D53F3E">
        <w:rPr>
          <w:rFonts w:ascii="Arial Black" w:hAnsi="Arial Black"/>
          <w:noProof/>
          <w:lang w:eastAsia="el-GR"/>
        </w:rPr>
        <w:drawing>
          <wp:inline distT="0" distB="0" distL="0" distR="0" wp14:anchorId="33F3B791" wp14:editId="27D5F2E5">
            <wp:extent cx="5486400" cy="3117850"/>
            <wp:effectExtent l="0" t="0" r="19050" b="2540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87594" w:rsidRPr="00F87594" w:rsidRDefault="00F87594" w:rsidP="00F87594">
      <w:pPr>
        <w:spacing w:after="0" w:line="360" w:lineRule="auto"/>
        <w:jc w:val="both"/>
        <w:rPr>
          <w:rFonts w:ascii="Times New Roman" w:hAnsi="Times New Roman" w:cs="Times New Roman"/>
          <w:sz w:val="24"/>
          <w:szCs w:val="24"/>
        </w:rPr>
      </w:pPr>
      <w:r w:rsidRPr="00F87594">
        <w:rPr>
          <w:rFonts w:ascii="Times New Roman" w:hAnsi="Times New Roman" w:cs="Times New Roman"/>
          <w:sz w:val="24"/>
          <w:szCs w:val="24"/>
        </w:rPr>
        <w:t>Στα επιμέρους στοιχεία</w:t>
      </w:r>
      <w:r w:rsidR="00C92675">
        <w:rPr>
          <w:rFonts w:ascii="Times New Roman" w:hAnsi="Times New Roman" w:cs="Times New Roman"/>
          <w:sz w:val="24"/>
          <w:szCs w:val="24"/>
        </w:rPr>
        <w:t>,</w:t>
      </w:r>
      <w:r w:rsidRPr="00F87594">
        <w:rPr>
          <w:rFonts w:ascii="Times New Roman" w:hAnsi="Times New Roman" w:cs="Times New Roman"/>
          <w:sz w:val="24"/>
          <w:szCs w:val="24"/>
        </w:rPr>
        <w:t xml:space="preserve"> οι επιχειρήσεις που πραγματοποίησαν τις περισσότερες επενδύσεις ήταν οι μεγαλύτερες με βάση τον τζίρο (61,2%) και τον αριθμό εργαζομένων (63,8%).</w:t>
      </w:r>
    </w:p>
    <w:p w:rsidR="00F87594" w:rsidRPr="00F87594" w:rsidRDefault="00F87594" w:rsidP="00F87594">
      <w:pPr>
        <w:spacing w:after="0" w:line="360" w:lineRule="auto"/>
        <w:jc w:val="both"/>
        <w:rPr>
          <w:rFonts w:ascii="Times New Roman" w:hAnsi="Times New Roman" w:cs="Times New Roman"/>
          <w:sz w:val="24"/>
          <w:szCs w:val="24"/>
        </w:rPr>
      </w:pPr>
      <w:r w:rsidRPr="00F87594">
        <w:rPr>
          <w:rFonts w:ascii="Times New Roman" w:hAnsi="Times New Roman" w:cs="Times New Roman"/>
          <w:sz w:val="24"/>
          <w:szCs w:val="24"/>
        </w:rPr>
        <w:t>Ως προς το είδος της επένδυσης από τις επιχειρήσεις που πραγματοποίησαν επενδύσεις το 37,2% πραγματοποίησε επενδύσεις για τεχνολογικό – ψηφιακό εξοπλισμό, το 37,2% για μηχανολογικό εξοπλισμό και το 25,26% για κτιριακές εγκατάστασεις (Γράφημα 12). Από τα ευρήματα φαίνεται ότι οι μικρές και πολύ μικρές επιχειρήσεις καταβάλλουν προσπάθειες προσαρμογής στα νέα δεδομένα που δημιουργούν οι τεχνολογικές εξελίξεις. Ωστόσο η απουσία χρηματοδότησης</w:t>
      </w:r>
      <w:r w:rsidR="00C92675">
        <w:rPr>
          <w:rFonts w:ascii="Times New Roman" w:hAnsi="Times New Roman" w:cs="Times New Roman"/>
          <w:sz w:val="24"/>
          <w:szCs w:val="24"/>
        </w:rPr>
        <w:t>,</w:t>
      </w:r>
      <w:r w:rsidRPr="00F87594">
        <w:rPr>
          <w:rFonts w:ascii="Times New Roman" w:hAnsi="Times New Roman" w:cs="Times New Roman"/>
          <w:sz w:val="24"/>
          <w:szCs w:val="24"/>
        </w:rPr>
        <w:t xml:space="preserve"> όπως ήδη προαναφέρθηκε σε συνδυασμό με την υπερφορολόγηση και την απουσία κινήτρων καθιστούν τις επενδύσεις αυτές περιορισμένης κλίμακας. Αυτό</w:t>
      </w:r>
      <w:r w:rsidR="00C92675">
        <w:rPr>
          <w:rFonts w:ascii="Times New Roman" w:hAnsi="Times New Roman" w:cs="Times New Roman"/>
          <w:sz w:val="24"/>
          <w:szCs w:val="24"/>
        </w:rPr>
        <w:t xml:space="preserve"> τουλάχιστον προκύπτει από το εύρη</w:t>
      </w:r>
      <w:r w:rsidRPr="00F87594">
        <w:rPr>
          <w:rFonts w:ascii="Times New Roman" w:hAnsi="Times New Roman" w:cs="Times New Roman"/>
          <w:sz w:val="24"/>
          <w:szCs w:val="24"/>
        </w:rPr>
        <w:t>μα ότι οι 9 στις 10 επιχειρήσεις (88,5%) που πραγματοποίησαν επενδύσεις χρηματοδότησαν τις επενδύσεις αυτές με ίδια κεφάλαια. Είναι μάλιστα χαρακτηριστικό ότι οι επιχειρήσεις που χρηματοδότησαν τις επενδύσεις τους μέσω τραπεζικού δανεισμού είναι λιγότερες από εκείνες που βρήκαν χρηματοδότηση μέσω ΕΣΠΑ (4,1% και 5,4% αντίστοιχα).</w:t>
      </w:r>
    </w:p>
    <w:p w:rsidR="00F87594" w:rsidRDefault="00F87594" w:rsidP="00F87594">
      <w:pPr>
        <w:spacing w:after="0" w:line="240" w:lineRule="auto"/>
        <w:jc w:val="both"/>
        <w:rPr>
          <w:rFonts w:ascii="Times New Roman" w:hAnsi="Times New Roman" w:cs="Times New Roman"/>
          <w:b/>
          <w:sz w:val="24"/>
          <w:szCs w:val="24"/>
        </w:rPr>
      </w:pPr>
    </w:p>
    <w:p w:rsidR="00F87594" w:rsidRDefault="00F87594" w:rsidP="00F87594">
      <w:pPr>
        <w:spacing w:after="0" w:line="240" w:lineRule="auto"/>
        <w:jc w:val="both"/>
        <w:rPr>
          <w:rFonts w:ascii="Times New Roman" w:hAnsi="Times New Roman" w:cs="Times New Roman"/>
          <w:b/>
          <w:sz w:val="24"/>
          <w:szCs w:val="24"/>
        </w:rPr>
      </w:pPr>
    </w:p>
    <w:p w:rsidR="00347470" w:rsidRPr="00F87594" w:rsidRDefault="00347470" w:rsidP="00F87594">
      <w:pPr>
        <w:spacing w:after="0" w:line="240" w:lineRule="auto"/>
        <w:jc w:val="both"/>
        <w:rPr>
          <w:rFonts w:ascii="Times New Roman" w:hAnsi="Times New Roman" w:cs="Times New Roman"/>
          <w:b/>
          <w:sz w:val="24"/>
          <w:szCs w:val="24"/>
        </w:rPr>
      </w:pPr>
      <w:r w:rsidRPr="00F87594">
        <w:rPr>
          <w:rFonts w:ascii="Times New Roman" w:hAnsi="Times New Roman" w:cs="Times New Roman"/>
          <w:b/>
          <w:sz w:val="24"/>
          <w:szCs w:val="24"/>
        </w:rPr>
        <w:lastRenderedPageBreak/>
        <w:t xml:space="preserve">Γράφημα </w:t>
      </w:r>
      <w:r w:rsidR="001215FE" w:rsidRPr="00F87594">
        <w:rPr>
          <w:rFonts w:ascii="Times New Roman" w:hAnsi="Times New Roman" w:cs="Times New Roman"/>
          <w:b/>
          <w:sz w:val="24"/>
          <w:szCs w:val="24"/>
        </w:rPr>
        <w:t>12</w:t>
      </w:r>
      <w:r w:rsidRPr="00F87594">
        <w:rPr>
          <w:rFonts w:ascii="Times New Roman" w:hAnsi="Times New Roman" w:cs="Times New Roman"/>
          <w:b/>
          <w:sz w:val="24"/>
          <w:szCs w:val="24"/>
        </w:rPr>
        <w:t>: Τι είδους επενδύσεις πραγματοποιήσατε κατά την τελευταία 3ετία;</w:t>
      </w:r>
    </w:p>
    <w:p w:rsidR="00287100" w:rsidRPr="00F87594" w:rsidRDefault="00287100" w:rsidP="00F87594">
      <w:pPr>
        <w:spacing w:after="0" w:line="240" w:lineRule="auto"/>
        <w:jc w:val="both"/>
        <w:rPr>
          <w:rFonts w:ascii="Times New Roman" w:hAnsi="Times New Roman" w:cs="Times New Roman"/>
          <w:b/>
          <w:sz w:val="24"/>
          <w:szCs w:val="24"/>
        </w:rPr>
      </w:pPr>
      <w:r w:rsidRPr="00F87594">
        <w:rPr>
          <w:rFonts w:ascii="Times New Roman" w:hAnsi="Times New Roman" w:cs="Times New Roman"/>
          <w:b/>
          <w:sz w:val="24"/>
          <w:szCs w:val="24"/>
        </w:rPr>
        <w:t>-βάση όσοι πραγματοποί</w:t>
      </w:r>
      <w:r w:rsidR="00F87594" w:rsidRPr="00F87594">
        <w:rPr>
          <w:rFonts w:ascii="Times New Roman" w:hAnsi="Times New Roman" w:cs="Times New Roman"/>
          <w:b/>
          <w:sz w:val="24"/>
          <w:szCs w:val="24"/>
        </w:rPr>
        <w:t>η</w:t>
      </w:r>
      <w:r w:rsidRPr="00F87594">
        <w:rPr>
          <w:rFonts w:ascii="Times New Roman" w:hAnsi="Times New Roman" w:cs="Times New Roman"/>
          <w:b/>
          <w:sz w:val="24"/>
          <w:szCs w:val="24"/>
        </w:rPr>
        <w:t>σαν επενδύσεις-</w:t>
      </w:r>
    </w:p>
    <w:p w:rsidR="00347470" w:rsidRDefault="00347470" w:rsidP="00B332DF">
      <w:pPr>
        <w:jc w:val="both"/>
        <w:rPr>
          <w:rFonts w:ascii="Arial Black" w:hAnsi="Arial Black"/>
          <w:highlight w:val="yellow"/>
        </w:rPr>
      </w:pPr>
      <w:r w:rsidRPr="00F87594">
        <w:rPr>
          <w:rFonts w:ascii="Arial Black" w:hAnsi="Arial Black"/>
          <w:noProof/>
          <w:lang w:eastAsia="el-GR"/>
        </w:rPr>
        <w:drawing>
          <wp:inline distT="0" distB="0" distL="0" distR="0" wp14:anchorId="494BEA60" wp14:editId="006B31AE">
            <wp:extent cx="5486400" cy="3117850"/>
            <wp:effectExtent l="0" t="0" r="19050" b="25400"/>
            <wp:docPr id="4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87594" w:rsidRPr="00F87594" w:rsidRDefault="00F87594" w:rsidP="00F87594">
      <w:pPr>
        <w:tabs>
          <w:tab w:val="left" w:pos="4530"/>
        </w:tabs>
        <w:spacing w:after="0" w:line="360" w:lineRule="auto"/>
        <w:jc w:val="both"/>
        <w:rPr>
          <w:rFonts w:ascii="Times New Roman" w:hAnsi="Times New Roman" w:cs="Times New Roman"/>
          <w:sz w:val="24"/>
          <w:szCs w:val="24"/>
        </w:rPr>
      </w:pPr>
      <w:r w:rsidRPr="00F87594">
        <w:rPr>
          <w:rFonts w:ascii="Times New Roman" w:hAnsi="Times New Roman" w:cs="Times New Roman"/>
          <w:sz w:val="24"/>
          <w:szCs w:val="24"/>
        </w:rPr>
        <w:t>Σε επίπεδο κλάδου, η μεταποίηση φαίνεται να επενδύει σε τεχνολογικό – ψηφιακό εξοπλισμό σε σχετικά χαμηλότερο ποσοστό σε σχέση με τις επιχειρήσεις στο εμπόριο και τις υπηρεσίες</w:t>
      </w:r>
      <w:r w:rsidR="00C92675">
        <w:rPr>
          <w:rFonts w:ascii="Times New Roman" w:hAnsi="Times New Roman" w:cs="Times New Roman"/>
          <w:sz w:val="24"/>
          <w:szCs w:val="24"/>
        </w:rPr>
        <w:t>,</w:t>
      </w:r>
      <w:r w:rsidRPr="00F87594">
        <w:rPr>
          <w:rFonts w:ascii="Times New Roman" w:hAnsi="Times New Roman" w:cs="Times New Roman"/>
          <w:sz w:val="24"/>
          <w:szCs w:val="24"/>
        </w:rPr>
        <w:t xml:space="preserve"> δίνοντας μεγαλύτερο βάρος στο μηχανολογικό εξοπλισμό. Οι νεότερες επιχειρήσεις (έως 5 έτη) καταγράφουν υψηλότερα ποσοστά ως προς τις επενδύσεις σε τεχνολογικό και ψηφιακό εξοπλισμό.</w:t>
      </w:r>
    </w:p>
    <w:p w:rsidR="00F87594" w:rsidRPr="00F87594" w:rsidRDefault="00F87594" w:rsidP="00F87594">
      <w:pPr>
        <w:tabs>
          <w:tab w:val="left" w:pos="4530"/>
        </w:tabs>
        <w:spacing w:after="0" w:line="360" w:lineRule="auto"/>
        <w:jc w:val="both"/>
        <w:rPr>
          <w:rFonts w:ascii="Times New Roman" w:hAnsi="Times New Roman" w:cs="Times New Roman"/>
          <w:sz w:val="24"/>
          <w:szCs w:val="24"/>
        </w:rPr>
      </w:pPr>
      <w:r w:rsidRPr="00F87594">
        <w:rPr>
          <w:rFonts w:ascii="Times New Roman" w:hAnsi="Times New Roman" w:cs="Times New Roman"/>
          <w:sz w:val="24"/>
          <w:szCs w:val="24"/>
        </w:rPr>
        <w:t>Γενικότερα, φαίνεται να αποτυπώνεται μια ήπια επενδυτική δραστηριότητα χαμηλής κλίμακας, όπου το βασικό εμπόδιο για την ανάληψη μεγαλύτερων επενδυτικών πρωτοβουλιών αποτελεί η έλλειψη χρηματοδότησης</w:t>
      </w:r>
      <w:r w:rsidR="00C92675">
        <w:rPr>
          <w:rFonts w:ascii="Times New Roman" w:hAnsi="Times New Roman" w:cs="Times New Roman"/>
          <w:sz w:val="24"/>
          <w:szCs w:val="24"/>
        </w:rPr>
        <w:t xml:space="preserve"> και η υπερφορολόγηση βασική</w:t>
      </w:r>
      <w:r w:rsidRPr="00F87594">
        <w:rPr>
          <w:rFonts w:ascii="Times New Roman" w:hAnsi="Times New Roman" w:cs="Times New Roman"/>
          <w:sz w:val="24"/>
          <w:szCs w:val="24"/>
        </w:rPr>
        <w:t xml:space="preserve"> συνέπεια της οποίας είναι η μειωμένη ρευστότητα.</w:t>
      </w:r>
    </w:p>
    <w:p w:rsidR="00F87594" w:rsidRPr="00F87594" w:rsidRDefault="00F87594" w:rsidP="00F87594">
      <w:pPr>
        <w:tabs>
          <w:tab w:val="left" w:pos="4530"/>
        </w:tabs>
        <w:spacing w:after="0" w:line="360" w:lineRule="auto"/>
        <w:jc w:val="both"/>
        <w:rPr>
          <w:rFonts w:ascii="Times New Roman" w:hAnsi="Times New Roman" w:cs="Times New Roman"/>
          <w:sz w:val="24"/>
          <w:szCs w:val="24"/>
        </w:rPr>
      </w:pPr>
      <w:r w:rsidRPr="00F87594">
        <w:rPr>
          <w:rFonts w:ascii="Times New Roman" w:hAnsi="Times New Roman" w:cs="Times New Roman"/>
          <w:sz w:val="24"/>
          <w:szCs w:val="24"/>
        </w:rPr>
        <w:t>Τέλος, μειωμένο καταγράφεται το ποσοστό επί του τζίρου των ηλεκτρονικών συναλλαγών που πραγματοποιούν οι επιχειρήσεις. Συγκεκριμένα κατά μέσο όρο το ποσοστό επί του τζίρου των μικρών και πολύ μικρών επιχειρήσεων που γίνονται μέσω ηλεκτρονικών συναλλαγών είναι στο 28,3% έναντι 36,1% που είχε καταγραφεί στην περυσινή έρευνα. Πιθανοί λόγοι της μείωσης αυτής μπορούν να θεωρηθούν:</w:t>
      </w:r>
    </w:p>
    <w:p w:rsidR="00F87594" w:rsidRPr="00F87594" w:rsidRDefault="00F87594" w:rsidP="00F87594">
      <w:pPr>
        <w:tabs>
          <w:tab w:val="left" w:pos="4530"/>
        </w:tabs>
        <w:spacing w:after="0" w:line="360" w:lineRule="auto"/>
        <w:jc w:val="both"/>
        <w:rPr>
          <w:rFonts w:ascii="Times New Roman" w:hAnsi="Times New Roman" w:cs="Times New Roman"/>
          <w:sz w:val="24"/>
          <w:szCs w:val="24"/>
        </w:rPr>
      </w:pPr>
      <w:r w:rsidRPr="00F87594">
        <w:rPr>
          <w:rFonts w:ascii="Times New Roman" w:hAnsi="Times New Roman" w:cs="Times New Roman"/>
          <w:sz w:val="24"/>
          <w:szCs w:val="24"/>
        </w:rPr>
        <w:t>α) η αδυναμία του κράτους να παρέχει ένα ελάχιστο βαθμό προστασίας από κατασχέσεις δημιουργεί αντικίνητρο τακτικής χρησιμοποίησης των ηλεκτρονικών μέσων πληρωμής. Η θεσμοθέτηση του ηλεκτρονικού ακατάσχετου επαγγελματικού λογαριασμού, που θα εξασφαλίζει προστασία για τις πληρωμές εργαζομένων, προμηθευτών, ενοικίων και λοιπών λειτουργικών εξόδων, θα δημιουργήσει το κατάλληλο περιβάλλον για την εύρυθμη λειτουργία της επιχείρησης και τη βελτίωση των επιχειρηματικών πρακτικών στο πεδίο αυτό</w:t>
      </w:r>
    </w:p>
    <w:p w:rsidR="00F87594" w:rsidRPr="00F87594" w:rsidRDefault="00F87594" w:rsidP="00F87594">
      <w:pPr>
        <w:tabs>
          <w:tab w:val="left" w:pos="4530"/>
        </w:tabs>
        <w:spacing w:after="0" w:line="360" w:lineRule="auto"/>
        <w:jc w:val="both"/>
        <w:rPr>
          <w:rFonts w:ascii="Times New Roman" w:hAnsi="Times New Roman" w:cs="Times New Roman"/>
          <w:sz w:val="24"/>
          <w:szCs w:val="24"/>
        </w:rPr>
      </w:pPr>
      <w:r w:rsidRPr="00F87594">
        <w:rPr>
          <w:rFonts w:ascii="Times New Roman" w:hAnsi="Times New Roman" w:cs="Times New Roman"/>
          <w:sz w:val="24"/>
          <w:szCs w:val="24"/>
        </w:rPr>
        <w:t>β)</w:t>
      </w:r>
      <w:r>
        <w:rPr>
          <w:rFonts w:ascii="Times New Roman" w:hAnsi="Times New Roman" w:cs="Times New Roman"/>
          <w:sz w:val="24"/>
          <w:szCs w:val="24"/>
        </w:rPr>
        <w:t xml:space="preserve"> </w:t>
      </w:r>
      <w:r w:rsidRPr="00F87594">
        <w:rPr>
          <w:rFonts w:ascii="Times New Roman" w:hAnsi="Times New Roman" w:cs="Times New Roman"/>
          <w:sz w:val="24"/>
          <w:szCs w:val="24"/>
        </w:rPr>
        <w:t>η σταδιακή  χαλάρωση των capital controls όσον αφορά στην ανάληψη μετρητών στο εσωτερικό από 420€ την εβδομάδα στην άρση των περιορισμών από τον Οκτώβριο του 2018,</w:t>
      </w:r>
    </w:p>
    <w:p w:rsidR="00F87594" w:rsidRPr="00F87594" w:rsidRDefault="00F87594" w:rsidP="00F87594">
      <w:pPr>
        <w:tabs>
          <w:tab w:val="left" w:pos="4530"/>
        </w:tabs>
        <w:spacing w:after="0" w:line="360" w:lineRule="auto"/>
        <w:jc w:val="both"/>
        <w:rPr>
          <w:rFonts w:ascii="Times New Roman" w:hAnsi="Times New Roman" w:cs="Times New Roman"/>
          <w:sz w:val="24"/>
          <w:szCs w:val="24"/>
        </w:rPr>
      </w:pPr>
      <w:r w:rsidRPr="00F87594">
        <w:rPr>
          <w:rFonts w:ascii="Times New Roman" w:hAnsi="Times New Roman" w:cs="Times New Roman"/>
          <w:sz w:val="24"/>
          <w:szCs w:val="24"/>
        </w:rPr>
        <w:lastRenderedPageBreak/>
        <w:t>γ) στην περιορισμένη παροχή κινήτρων στους καταναλωτές</w:t>
      </w:r>
      <w:r w:rsidR="00C92675">
        <w:rPr>
          <w:rFonts w:ascii="Times New Roman" w:hAnsi="Times New Roman" w:cs="Times New Roman"/>
          <w:sz w:val="24"/>
          <w:szCs w:val="24"/>
        </w:rPr>
        <w:t>,</w:t>
      </w:r>
      <w:r w:rsidRPr="00F87594">
        <w:rPr>
          <w:rFonts w:ascii="Times New Roman" w:hAnsi="Times New Roman" w:cs="Times New Roman"/>
          <w:sz w:val="24"/>
          <w:szCs w:val="24"/>
        </w:rPr>
        <w:t xml:space="preserve"> αφού μετά το απαιτούμενο ποσό ηλεκτρονικών συναλλαγών για την κάλυψη του αφορολόγητου ορίου δεν υπάρχει περαιτέρω φοροελάφρυνση</w:t>
      </w:r>
      <w:r w:rsidR="00C92675">
        <w:rPr>
          <w:rFonts w:ascii="Times New Roman" w:hAnsi="Times New Roman" w:cs="Times New Roman"/>
          <w:sz w:val="24"/>
          <w:szCs w:val="24"/>
        </w:rPr>
        <w:t>,</w:t>
      </w:r>
    </w:p>
    <w:p w:rsidR="00B332DF" w:rsidRPr="00F87594" w:rsidRDefault="00F87594" w:rsidP="00F87594">
      <w:pPr>
        <w:tabs>
          <w:tab w:val="left" w:pos="4530"/>
        </w:tabs>
        <w:spacing w:after="0" w:line="360" w:lineRule="auto"/>
        <w:jc w:val="both"/>
        <w:rPr>
          <w:rFonts w:ascii="Times New Roman" w:eastAsia="Times New Roman" w:hAnsi="Times New Roman" w:cs="Times New Roman"/>
          <w:bCs/>
          <w:noProof/>
          <w:sz w:val="24"/>
          <w:szCs w:val="24"/>
          <w:highlight w:val="yellow"/>
          <w:lang w:eastAsia="el-GR"/>
        </w:rPr>
      </w:pPr>
      <w:r w:rsidRPr="00F87594">
        <w:rPr>
          <w:rFonts w:ascii="Times New Roman" w:hAnsi="Times New Roman" w:cs="Times New Roman"/>
          <w:sz w:val="24"/>
          <w:szCs w:val="24"/>
        </w:rPr>
        <w:t>δ) η μικρή πτώση των αφίξεων τουριστών στην Ελλάδα το 2019.</w:t>
      </w:r>
    </w:p>
    <w:p w:rsidR="005941FC" w:rsidRPr="005941FC" w:rsidRDefault="005941FC" w:rsidP="005941FC">
      <w:pPr>
        <w:tabs>
          <w:tab w:val="left" w:pos="4530"/>
        </w:tabs>
        <w:spacing w:after="0" w:line="240" w:lineRule="auto"/>
        <w:jc w:val="both"/>
        <w:rPr>
          <w:rFonts w:ascii="Arial Narrow" w:eastAsia="Times New Roman" w:hAnsi="Arial Narrow" w:cs="Times New Roman"/>
          <w:bCs/>
          <w:noProof/>
          <w:sz w:val="24"/>
          <w:szCs w:val="24"/>
          <w:lang w:eastAsia="el-GR"/>
        </w:rPr>
      </w:pPr>
    </w:p>
    <w:p w:rsidR="005941FC" w:rsidRPr="005941FC" w:rsidRDefault="005941FC" w:rsidP="005941FC">
      <w:pPr>
        <w:spacing w:after="0" w:line="240" w:lineRule="auto"/>
        <w:ind w:left="1080"/>
        <w:jc w:val="both"/>
        <w:rPr>
          <w:rFonts w:ascii="Arial Narrow" w:eastAsia="Times New Roman" w:hAnsi="Arial Narrow" w:cs="Times New Roman"/>
          <w:b/>
          <w:sz w:val="24"/>
          <w:szCs w:val="24"/>
          <w:u w:val="single"/>
          <w:lang w:eastAsia="el-GR"/>
        </w:rPr>
      </w:pPr>
    </w:p>
    <w:p w:rsidR="005941FC" w:rsidRPr="00F87594" w:rsidRDefault="005941FC" w:rsidP="00F87594">
      <w:pPr>
        <w:pStyle w:val="a5"/>
        <w:numPr>
          <w:ilvl w:val="0"/>
          <w:numId w:val="20"/>
        </w:numPr>
        <w:spacing w:after="0" w:line="360" w:lineRule="auto"/>
        <w:jc w:val="both"/>
        <w:rPr>
          <w:rFonts w:ascii="Times New Roman" w:eastAsia="Times New Roman" w:hAnsi="Times New Roman" w:cs="Times New Roman"/>
          <w:b/>
          <w:sz w:val="24"/>
          <w:szCs w:val="24"/>
          <w:u w:val="single"/>
          <w:lang w:eastAsia="el-GR"/>
        </w:rPr>
      </w:pPr>
      <w:r w:rsidRPr="00F87594">
        <w:rPr>
          <w:rFonts w:ascii="Times New Roman" w:eastAsia="Times New Roman" w:hAnsi="Times New Roman" w:cs="Times New Roman"/>
          <w:b/>
          <w:sz w:val="24"/>
          <w:szCs w:val="24"/>
          <w:u w:val="single"/>
          <w:lang w:eastAsia="el-GR"/>
        </w:rPr>
        <w:t>ΠΡΟΒΛΕΨΕΙΣ ΓΙΑ ΤΟ 2ο ΕΞΑΜΗΝΟ 201</w:t>
      </w:r>
      <w:r w:rsidR="008E4FDE" w:rsidRPr="00F87594">
        <w:rPr>
          <w:rFonts w:ascii="Times New Roman" w:eastAsia="Times New Roman" w:hAnsi="Times New Roman" w:cs="Times New Roman"/>
          <w:b/>
          <w:sz w:val="24"/>
          <w:szCs w:val="24"/>
          <w:u w:val="single"/>
          <w:lang w:eastAsia="el-GR"/>
        </w:rPr>
        <w:t>9</w:t>
      </w:r>
    </w:p>
    <w:p w:rsidR="006033EB" w:rsidRPr="00F87594" w:rsidRDefault="006033EB" w:rsidP="00F87594">
      <w:pPr>
        <w:spacing w:after="0" w:line="360" w:lineRule="auto"/>
        <w:jc w:val="both"/>
        <w:rPr>
          <w:rFonts w:ascii="Times New Roman" w:eastAsia="Times New Roman" w:hAnsi="Times New Roman" w:cs="Times New Roman"/>
          <w:sz w:val="24"/>
          <w:szCs w:val="24"/>
          <w:lang w:eastAsia="el-GR"/>
        </w:rPr>
      </w:pPr>
      <w:r w:rsidRPr="00F87594">
        <w:rPr>
          <w:rFonts w:ascii="Times New Roman" w:eastAsia="Times New Roman" w:hAnsi="Times New Roman" w:cs="Times New Roman"/>
          <w:sz w:val="24"/>
          <w:szCs w:val="24"/>
          <w:lang w:eastAsia="el-GR"/>
        </w:rPr>
        <w:t>Οι προσδοκίες σχετικά με την πορεία των επιχειρήσεων το επόμενο εξάμηνο καταγράφουν ιστορικό υψηλό δεκαετίας. Μάλιστα για πρώτη φορά στις έρευνες κλίματος του ΙΜΕ ΓΣΕΒΕΕ τόσο ο γενικός δείκτης για την οικονομική κατάσταση το επόμενο εξάμηνο όσο και οι επιμέρους δείκτες προσδοκιών του κύκλου εργασιών, της ζήτησης, της ρευστότητας, των παραγγελιών και της απασχόλησης υπερτερούν των δεικτών επιδείνωσης.  Το 31% των επιχειρήσεων αναμένει βελτίωση (έναντι 26,4% τον Ιανουάριο 2019 και 17,5% τον Ιούλιο 2018), το 38,5% καμία μεταβολή (έναντι 38,2% τον Ιανουάριο 2019 και 36,8% τον Ιούλιο 2018), ενώ μόλις το 16,6% των επιχειρήσεων αναμένει επιδείνωση (έναντι 29,3% τον Ιανουάριο του 2019 και 37,6% τον Ιούλιο του 2018) (Γράφημα 13). Περισσότερο απαισιόδοξες είναι οι μικρότερες</w:t>
      </w:r>
      <w:r w:rsidR="00C92675">
        <w:rPr>
          <w:rFonts w:ascii="Times New Roman" w:eastAsia="Times New Roman" w:hAnsi="Times New Roman" w:cs="Times New Roman"/>
          <w:sz w:val="24"/>
          <w:szCs w:val="24"/>
          <w:lang w:eastAsia="el-GR"/>
        </w:rPr>
        <w:t>,</w:t>
      </w:r>
      <w:r w:rsidRPr="00F87594">
        <w:rPr>
          <w:rFonts w:ascii="Times New Roman" w:eastAsia="Times New Roman" w:hAnsi="Times New Roman" w:cs="Times New Roman"/>
          <w:sz w:val="24"/>
          <w:szCs w:val="24"/>
          <w:lang w:eastAsia="el-GR"/>
        </w:rPr>
        <w:t xml:space="preserve"> με βάση τον κύκλο εργασιών και τον αριθμό εργαζομένων</w:t>
      </w:r>
      <w:r w:rsidR="00C92675">
        <w:rPr>
          <w:rFonts w:ascii="Times New Roman" w:eastAsia="Times New Roman" w:hAnsi="Times New Roman" w:cs="Times New Roman"/>
          <w:sz w:val="24"/>
          <w:szCs w:val="24"/>
          <w:lang w:eastAsia="el-GR"/>
        </w:rPr>
        <w:t>,</w:t>
      </w:r>
      <w:r w:rsidRPr="00F87594">
        <w:rPr>
          <w:rFonts w:ascii="Times New Roman" w:eastAsia="Times New Roman" w:hAnsi="Times New Roman" w:cs="Times New Roman"/>
          <w:sz w:val="24"/>
          <w:szCs w:val="24"/>
          <w:lang w:eastAsia="el-GR"/>
        </w:rPr>
        <w:t xml:space="preserve"> επιχειρήσεις.</w:t>
      </w:r>
    </w:p>
    <w:p w:rsidR="006033EB" w:rsidRPr="00F87594" w:rsidRDefault="006033EB" w:rsidP="00F87594">
      <w:pPr>
        <w:spacing w:after="0" w:line="360" w:lineRule="auto"/>
        <w:jc w:val="both"/>
        <w:rPr>
          <w:rFonts w:ascii="Times New Roman" w:eastAsia="Times New Roman" w:hAnsi="Times New Roman" w:cs="Times New Roman"/>
          <w:sz w:val="24"/>
          <w:szCs w:val="24"/>
          <w:lang w:eastAsia="el-GR"/>
        </w:rPr>
      </w:pPr>
    </w:p>
    <w:p w:rsidR="006033EB" w:rsidRPr="00F87594" w:rsidRDefault="006033EB" w:rsidP="00F87594">
      <w:pPr>
        <w:spacing w:after="0" w:line="240" w:lineRule="auto"/>
        <w:jc w:val="center"/>
        <w:rPr>
          <w:rFonts w:ascii="Times New Roman" w:eastAsia="Times New Roman" w:hAnsi="Times New Roman" w:cs="Times New Roman"/>
          <w:b/>
          <w:sz w:val="24"/>
          <w:szCs w:val="24"/>
          <w:lang w:eastAsia="el-GR"/>
        </w:rPr>
      </w:pPr>
      <w:r w:rsidRPr="00F87594">
        <w:rPr>
          <w:rFonts w:ascii="Times New Roman" w:eastAsia="Times New Roman" w:hAnsi="Times New Roman" w:cs="Times New Roman"/>
          <w:b/>
          <w:sz w:val="24"/>
          <w:szCs w:val="24"/>
          <w:lang w:eastAsia="el-GR"/>
        </w:rPr>
        <w:t>Γράφημα 13 - ΠΡΟΒΛΕΨΗ ΕΠΟΜΕΝΟΥ ΕΞΑΜΗΝΟΥ</w:t>
      </w:r>
    </w:p>
    <w:p w:rsidR="006033EB" w:rsidRPr="00F87594" w:rsidRDefault="006033EB" w:rsidP="00F87594">
      <w:pPr>
        <w:spacing w:after="0" w:line="240" w:lineRule="auto"/>
        <w:jc w:val="center"/>
        <w:rPr>
          <w:rFonts w:ascii="Times New Roman" w:eastAsia="Times New Roman" w:hAnsi="Times New Roman" w:cs="Times New Roman"/>
          <w:b/>
          <w:sz w:val="24"/>
          <w:szCs w:val="24"/>
          <w:lang w:eastAsia="el-GR"/>
        </w:rPr>
      </w:pPr>
    </w:p>
    <w:p w:rsidR="006033EB" w:rsidRPr="00F87594" w:rsidRDefault="006033EB" w:rsidP="00F87594">
      <w:pPr>
        <w:spacing w:after="0" w:line="240" w:lineRule="auto"/>
        <w:jc w:val="center"/>
        <w:rPr>
          <w:rFonts w:ascii="Times New Roman" w:eastAsia="Times New Roman" w:hAnsi="Times New Roman" w:cs="Times New Roman"/>
          <w:b/>
          <w:sz w:val="24"/>
          <w:szCs w:val="24"/>
          <w:lang w:eastAsia="el-GR"/>
        </w:rPr>
      </w:pPr>
      <w:r w:rsidRPr="00F87594">
        <w:rPr>
          <w:rFonts w:ascii="Times New Roman" w:eastAsia="Times New Roman" w:hAnsi="Times New Roman" w:cs="Times New Roman"/>
          <w:b/>
          <w:sz w:val="24"/>
          <w:szCs w:val="24"/>
          <w:lang w:eastAsia="el-GR"/>
        </w:rPr>
        <w:t>ΣΥΓΚΡΙΣΗ ΜΕ ΠΡΟΗΓΟΥΜΕΝΕΣ ΕΡΕΥΝΕΣ</w:t>
      </w:r>
    </w:p>
    <w:p w:rsidR="006033EB" w:rsidRPr="00F87594" w:rsidRDefault="006033EB" w:rsidP="00F87594">
      <w:pPr>
        <w:spacing w:after="0" w:line="360" w:lineRule="auto"/>
        <w:jc w:val="both"/>
        <w:rPr>
          <w:rFonts w:ascii="Times New Roman" w:eastAsia="Times New Roman" w:hAnsi="Times New Roman" w:cs="Times New Roman"/>
          <w:sz w:val="24"/>
          <w:szCs w:val="24"/>
          <w:lang w:eastAsia="el-GR"/>
        </w:rPr>
      </w:pPr>
    </w:p>
    <w:p w:rsidR="006033EB" w:rsidRDefault="006033EB" w:rsidP="005941FC">
      <w:pPr>
        <w:spacing w:after="0" w:line="240" w:lineRule="auto"/>
        <w:jc w:val="both"/>
        <w:rPr>
          <w:rFonts w:ascii="Arial Narrow" w:eastAsia="Times New Roman" w:hAnsi="Arial Narrow" w:cs="Times New Roman"/>
          <w:sz w:val="24"/>
          <w:szCs w:val="24"/>
          <w:lang w:eastAsia="el-GR"/>
        </w:rPr>
      </w:pPr>
      <w:r w:rsidRPr="006033EB">
        <w:rPr>
          <w:rFonts w:ascii="Arial Narrow" w:eastAsia="Times New Roman" w:hAnsi="Arial Narrow" w:cs="Times New Roman"/>
          <w:noProof/>
          <w:sz w:val="24"/>
          <w:szCs w:val="24"/>
          <w:lang w:eastAsia="el-GR"/>
        </w:rPr>
        <w:drawing>
          <wp:inline distT="0" distB="0" distL="0" distR="0" wp14:anchorId="0228DE3D" wp14:editId="74E268BA">
            <wp:extent cx="6715125" cy="2905125"/>
            <wp:effectExtent l="0" t="0" r="9525" b="9525"/>
            <wp:docPr id="4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F87594" w:rsidRDefault="00F87594" w:rsidP="006033EB">
      <w:pPr>
        <w:spacing w:after="0" w:line="240" w:lineRule="auto"/>
        <w:jc w:val="both"/>
        <w:rPr>
          <w:rFonts w:ascii="Arial Narrow" w:eastAsia="Times New Roman" w:hAnsi="Arial Narrow" w:cs="Times New Roman"/>
          <w:sz w:val="24"/>
          <w:szCs w:val="24"/>
          <w:lang w:eastAsia="el-GR"/>
        </w:rPr>
      </w:pPr>
    </w:p>
    <w:p w:rsidR="006033EB" w:rsidRPr="00F87594" w:rsidRDefault="006033EB" w:rsidP="00F87594">
      <w:pPr>
        <w:spacing w:after="0" w:line="360" w:lineRule="auto"/>
        <w:jc w:val="both"/>
        <w:rPr>
          <w:rFonts w:ascii="Times New Roman" w:eastAsia="Times New Roman" w:hAnsi="Times New Roman" w:cs="Times New Roman"/>
          <w:sz w:val="24"/>
          <w:szCs w:val="24"/>
          <w:lang w:eastAsia="el-GR"/>
        </w:rPr>
      </w:pPr>
      <w:r w:rsidRPr="00F87594">
        <w:rPr>
          <w:rFonts w:ascii="Times New Roman" w:eastAsia="Times New Roman" w:hAnsi="Times New Roman" w:cs="Times New Roman"/>
          <w:sz w:val="24"/>
          <w:szCs w:val="24"/>
          <w:lang w:eastAsia="el-GR"/>
        </w:rPr>
        <w:t xml:space="preserve">Οι προβλέψεις των επιχειρηματιών σχετικά με την μελλοντική πορεία του κύκλου εργασιών, της ζήτησης και των παραγγελιών παρουσιάζουν αξιοσημείωτη βελτίωση καθώς είναι η πρώτη φορά σε έρευνα του </w:t>
      </w:r>
      <w:r w:rsidRPr="00F87594">
        <w:rPr>
          <w:rFonts w:ascii="Times New Roman" w:eastAsia="Times New Roman" w:hAnsi="Times New Roman" w:cs="Times New Roman"/>
          <w:sz w:val="24"/>
          <w:szCs w:val="24"/>
          <w:lang w:eastAsia="el-GR"/>
        </w:rPr>
        <w:lastRenderedPageBreak/>
        <w:t>ΙΜΕ ΓΣΕΒΕΕ που οι θετικές προσδοκίες υπερτερούν των αρνητικών.  Ειδικότερα για τον κύκλο εργασιών 3 στις 10 επιχειρήσεις αναμένουν βελτίωση (30,8%),  το 41,6% των ερωτηθέντων δεν αναμένει κάποια μεταβολή, ενώ μόλις το 17,4% αναμένει επιδείνωση. Αντίστοιχες είναι οι προσδοκίες που καταγράφονται για την ζήτηση και τις παραγγελίες. Το 30,8% και 27% αντίστοιχα αναμένει βελτίωση, το 40,7% και 43,8% αντίστοιχα καμία μεταβολή</w:t>
      </w:r>
      <w:r w:rsidR="00FB3554">
        <w:rPr>
          <w:rFonts w:ascii="Times New Roman" w:eastAsia="Times New Roman" w:hAnsi="Times New Roman" w:cs="Times New Roman"/>
          <w:sz w:val="24"/>
          <w:szCs w:val="24"/>
          <w:lang w:eastAsia="el-GR"/>
        </w:rPr>
        <w:t>,</w:t>
      </w:r>
      <w:r w:rsidRPr="00F87594">
        <w:rPr>
          <w:rFonts w:ascii="Times New Roman" w:eastAsia="Times New Roman" w:hAnsi="Times New Roman" w:cs="Times New Roman"/>
          <w:sz w:val="24"/>
          <w:szCs w:val="24"/>
          <w:lang w:eastAsia="el-GR"/>
        </w:rPr>
        <w:t xml:space="preserve"> ενώ μόλις το 17,7% και 17,6% αντίστοιχα αναμένει μείωση. Για τις τιμές των προιόντων/υπηρεσιών</w:t>
      </w:r>
      <w:r w:rsidR="00FB3554">
        <w:rPr>
          <w:rFonts w:ascii="Times New Roman" w:eastAsia="Times New Roman" w:hAnsi="Times New Roman" w:cs="Times New Roman"/>
          <w:sz w:val="24"/>
          <w:szCs w:val="24"/>
          <w:lang w:eastAsia="el-GR"/>
        </w:rPr>
        <w:t>,</w:t>
      </w:r>
      <w:r w:rsidRPr="00F87594">
        <w:rPr>
          <w:rFonts w:ascii="Times New Roman" w:eastAsia="Times New Roman" w:hAnsi="Times New Roman" w:cs="Times New Roman"/>
          <w:sz w:val="24"/>
          <w:szCs w:val="24"/>
          <w:lang w:eastAsia="el-GR"/>
        </w:rPr>
        <w:t xml:space="preserve"> το 4,8% αναμένει αύξηση, το 8,2% μείωση και το 79,8% καμία μεταβολή (Γράφημα 14). </w:t>
      </w:r>
    </w:p>
    <w:p w:rsidR="006033EB" w:rsidRPr="00F87594" w:rsidRDefault="006033EB" w:rsidP="00F87594">
      <w:pPr>
        <w:spacing w:after="0" w:line="360" w:lineRule="auto"/>
        <w:jc w:val="both"/>
        <w:rPr>
          <w:rFonts w:ascii="Times New Roman" w:eastAsia="Times New Roman" w:hAnsi="Times New Roman" w:cs="Times New Roman"/>
          <w:sz w:val="24"/>
          <w:szCs w:val="24"/>
          <w:lang w:eastAsia="el-GR"/>
        </w:rPr>
      </w:pPr>
    </w:p>
    <w:p w:rsidR="006033EB" w:rsidRPr="00F87594" w:rsidRDefault="006033EB" w:rsidP="00F87594">
      <w:pPr>
        <w:spacing w:after="0" w:line="360" w:lineRule="auto"/>
        <w:jc w:val="both"/>
        <w:rPr>
          <w:rFonts w:ascii="Times New Roman" w:eastAsia="Times New Roman" w:hAnsi="Times New Roman" w:cs="Times New Roman"/>
          <w:b/>
          <w:sz w:val="24"/>
          <w:szCs w:val="24"/>
          <w:lang w:eastAsia="el-GR"/>
        </w:rPr>
      </w:pPr>
      <w:r w:rsidRPr="00F87594">
        <w:rPr>
          <w:rFonts w:ascii="Times New Roman" w:eastAsia="Times New Roman" w:hAnsi="Times New Roman" w:cs="Times New Roman"/>
          <w:b/>
          <w:sz w:val="24"/>
          <w:szCs w:val="24"/>
          <w:lang w:eastAsia="el-GR"/>
        </w:rPr>
        <w:t>Γράφημα 14 - ΠΡΟΒΛΕΨΗ ΕΠΟΜΕΝΟΥ ΕΞΑΜΗΝΟΥ</w:t>
      </w:r>
    </w:p>
    <w:p w:rsidR="006033EB" w:rsidRPr="00F87594" w:rsidRDefault="006033EB" w:rsidP="00F87594">
      <w:pPr>
        <w:spacing w:after="0" w:line="360" w:lineRule="auto"/>
        <w:jc w:val="both"/>
        <w:rPr>
          <w:rFonts w:ascii="Times New Roman" w:eastAsia="Times New Roman" w:hAnsi="Times New Roman" w:cs="Times New Roman"/>
          <w:b/>
          <w:sz w:val="24"/>
          <w:szCs w:val="24"/>
          <w:lang w:eastAsia="el-GR"/>
        </w:rPr>
      </w:pPr>
      <w:r w:rsidRPr="00F87594">
        <w:rPr>
          <w:rFonts w:ascii="Times New Roman" w:eastAsia="Times New Roman" w:hAnsi="Times New Roman" w:cs="Times New Roman"/>
          <w:b/>
          <w:sz w:val="24"/>
          <w:szCs w:val="24"/>
          <w:lang w:eastAsia="el-GR"/>
        </w:rPr>
        <w:t>ΣΥΓΚΕΝΤΡΩΤΙΚΟ ΓΡΑΦΗΜΑ</w:t>
      </w:r>
    </w:p>
    <w:p w:rsidR="006033EB" w:rsidRDefault="006033EB" w:rsidP="006033EB">
      <w:pPr>
        <w:spacing w:after="0" w:line="240" w:lineRule="auto"/>
        <w:jc w:val="both"/>
        <w:rPr>
          <w:rFonts w:ascii="Arial Narrow" w:eastAsia="Times New Roman" w:hAnsi="Arial Narrow" w:cs="Times New Roman"/>
          <w:sz w:val="24"/>
          <w:szCs w:val="24"/>
          <w:lang w:eastAsia="el-GR"/>
        </w:rPr>
      </w:pPr>
      <w:r w:rsidRPr="006033EB">
        <w:rPr>
          <w:rFonts w:ascii="Arial Narrow" w:eastAsia="Times New Roman" w:hAnsi="Arial Narrow" w:cs="Times New Roman"/>
          <w:noProof/>
          <w:sz w:val="24"/>
          <w:szCs w:val="24"/>
          <w:lang w:eastAsia="el-GR"/>
        </w:rPr>
        <w:drawing>
          <wp:inline distT="0" distB="0" distL="0" distR="0" wp14:anchorId="1565F2F8" wp14:editId="0326C686">
            <wp:extent cx="5486400" cy="3416300"/>
            <wp:effectExtent l="0" t="0" r="19050" b="12700"/>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6033EB" w:rsidRDefault="006033EB" w:rsidP="006033EB">
      <w:pPr>
        <w:spacing w:after="0" w:line="240" w:lineRule="auto"/>
        <w:jc w:val="both"/>
        <w:rPr>
          <w:rFonts w:ascii="Arial Narrow" w:eastAsia="Times New Roman" w:hAnsi="Arial Narrow" w:cs="Times New Roman"/>
          <w:sz w:val="24"/>
          <w:szCs w:val="24"/>
          <w:lang w:eastAsia="el-GR"/>
        </w:rPr>
      </w:pPr>
    </w:p>
    <w:p w:rsidR="006033EB" w:rsidRDefault="006033EB" w:rsidP="006033EB">
      <w:pPr>
        <w:spacing w:after="0" w:line="240" w:lineRule="auto"/>
        <w:jc w:val="both"/>
        <w:rPr>
          <w:rFonts w:ascii="Arial Narrow" w:eastAsia="Times New Roman" w:hAnsi="Arial Narrow" w:cs="Times New Roman"/>
          <w:sz w:val="24"/>
          <w:szCs w:val="24"/>
          <w:lang w:eastAsia="el-GR"/>
        </w:rPr>
      </w:pPr>
    </w:p>
    <w:p w:rsidR="006033EB" w:rsidRPr="00F87594" w:rsidRDefault="006033EB" w:rsidP="00F87594">
      <w:pPr>
        <w:spacing w:after="0" w:line="360" w:lineRule="auto"/>
        <w:jc w:val="both"/>
        <w:rPr>
          <w:rFonts w:ascii="Times New Roman" w:eastAsia="Times New Roman" w:hAnsi="Times New Roman" w:cs="Times New Roman"/>
          <w:sz w:val="24"/>
          <w:szCs w:val="24"/>
          <w:lang w:eastAsia="el-GR"/>
        </w:rPr>
      </w:pPr>
      <w:r w:rsidRPr="00F87594">
        <w:rPr>
          <w:rFonts w:ascii="Times New Roman" w:eastAsia="Times New Roman" w:hAnsi="Times New Roman" w:cs="Times New Roman"/>
          <w:sz w:val="24"/>
          <w:szCs w:val="24"/>
          <w:lang w:eastAsia="el-GR"/>
        </w:rPr>
        <w:t>Σε γενικές γραμμές</w:t>
      </w:r>
      <w:r w:rsidR="00FB3554">
        <w:rPr>
          <w:rFonts w:ascii="Times New Roman" w:eastAsia="Times New Roman" w:hAnsi="Times New Roman" w:cs="Times New Roman"/>
          <w:sz w:val="24"/>
          <w:szCs w:val="24"/>
          <w:lang w:eastAsia="el-GR"/>
        </w:rPr>
        <w:t>,</w:t>
      </w:r>
      <w:r w:rsidRPr="00F87594">
        <w:rPr>
          <w:rFonts w:ascii="Times New Roman" w:eastAsia="Times New Roman" w:hAnsi="Times New Roman" w:cs="Times New Roman"/>
          <w:sz w:val="24"/>
          <w:szCs w:val="24"/>
          <w:lang w:eastAsia="el-GR"/>
        </w:rPr>
        <w:t xml:space="preserve"> οι προσδοκίες των επιχειρήσεων ανεξαρτήτου μεγέθους ή/και ηλικίας παρουσιάζουν μια σχετική ομοιογένεια με τις θετικές προβλέψεις να υπερτερούν των αρνη</w:t>
      </w:r>
      <w:r w:rsidR="00C509D1">
        <w:rPr>
          <w:rFonts w:ascii="Times New Roman" w:eastAsia="Times New Roman" w:hAnsi="Times New Roman" w:cs="Times New Roman"/>
          <w:sz w:val="24"/>
          <w:szCs w:val="24"/>
          <w:lang w:eastAsia="el-GR"/>
        </w:rPr>
        <w:t>τικών για όλες σχεδόν τις κατηγορί</w:t>
      </w:r>
      <w:r w:rsidRPr="00F87594">
        <w:rPr>
          <w:rFonts w:ascii="Times New Roman" w:eastAsia="Times New Roman" w:hAnsi="Times New Roman" w:cs="Times New Roman"/>
          <w:sz w:val="24"/>
          <w:szCs w:val="24"/>
          <w:lang w:eastAsia="el-GR"/>
        </w:rPr>
        <w:t>ες και σ</w:t>
      </w:r>
      <w:r w:rsidR="00FB3554">
        <w:rPr>
          <w:rFonts w:ascii="Times New Roman" w:eastAsia="Times New Roman" w:hAnsi="Times New Roman" w:cs="Times New Roman"/>
          <w:sz w:val="24"/>
          <w:szCs w:val="24"/>
          <w:lang w:eastAsia="el-GR"/>
        </w:rPr>
        <w:t xml:space="preserve">τους 3 δείκτες που εξετάζουμε. </w:t>
      </w:r>
      <w:r w:rsidRPr="00F87594">
        <w:rPr>
          <w:rFonts w:ascii="Times New Roman" w:eastAsia="Times New Roman" w:hAnsi="Times New Roman" w:cs="Times New Roman"/>
          <w:sz w:val="24"/>
          <w:szCs w:val="24"/>
          <w:lang w:eastAsia="el-GR"/>
        </w:rPr>
        <w:t>Είναι προφανές πως οι πρόσφατες εκλογές που οδήγησαν σε αλλαγή της κυβέρνησης έχουν δημιουργήσει ένα ιδιαίτερα θετικό κύμα αισιοδοξίας ότι η κατάσταση της ελληνικής οικονομίας θα βελτιωθεί σημαντικά. Θα πρέπει όμως να επισημανθεί ότι ανάλογη συμπεριφορά, χαμηλότερης ωστόσο έντασης, είχε παρατηρηθεί και στην έρευνα οικονομικού κλίματος του Ιανουαρίου του 2015, όπου η τότε αλλαγή της κυβέρνησης είχε προκαλέσει υψηλές προσδοκίες για το μέλλον.</w:t>
      </w:r>
    </w:p>
    <w:p w:rsidR="006033EB" w:rsidRPr="00F87594" w:rsidRDefault="006033EB" w:rsidP="00F87594">
      <w:pPr>
        <w:spacing w:after="0" w:line="360" w:lineRule="auto"/>
        <w:jc w:val="both"/>
        <w:rPr>
          <w:rFonts w:ascii="Times New Roman" w:eastAsia="Times New Roman" w:hAnsi="Times New Roman" w:cs="Times New Roman"/>
          <w:sz w:val="24"/>
          <w:szCs w:val="24"/>
          <w:lang w:eastAsia="el-GR"/>
        </w:rPr>
      </w:pPr>
    </w:p>
    <w:p w:rsidR="006033EB" w:rsidRPr="00F87594" w:rsidRDefault="00F87594" w:rsidP="00F87594">
      <w:pPr>
        <w:spacing w:after="0" w:line="360" w:lineRule="auto"/>
        <w:jc w:val="both"/>
        <w:rPr>
          <w:rFonts w:ascii="Times New Roman" w:eastAsia="Times New Roman" w:hAnsi="Times New Roman" w:cs="Times New Roman"/>
          <w:sz w:val="24"/>
          <w:szCs w:val="24"/>
          <w:lang w:eastAsia="el-GR"/>
        </w:rPr>
      </w:pPr>
      <w:r w:rsidRPr="00F87594">
        <w:rPr>
          <w:rFonts w:ascii="Times New Roman" w:eastAsia="Times New Roman" w:hAnsi="Times New Roman" w:cs="Times New Roman"/>
          <w:sz w:val="24"/>
          <w:szCs w:val="24"/>
          <w:lang w:eastAsia="el-GR"/>
        </w:rPr>
        <w:lastRenderedPageBreak/>
        <w:t>Όσον αφορά τις προβλέψεις για την ρευστότητα καταγράφεται μια εμφανής βελτίωση που προφανώς ένα σημαντικό μέρος αυτής οφείλεται στις θετικές προσδοκίες που έχει δημιουργήσει η αλλαγή της κυβέρνησης. Είναι μάλιστα η πρώτη φορά σε έρευνα του ΙΜΕ ΓΣΕΒΕΕ</w:t>
      </w:r>
      <w:r w:rsidR="00FB3554">
        <w:rPr>
          <w:rFonts w:ascii="Times New Roman" w:eastAsia="Times New Roman" w:hAnsi="Times New Roman" w:cs="Times New Roman"/>
          <w:sz w:val="24"/>
          <w:szCs w:val="24"/>
          <w:lang w:eastAsia="el-GR"/>
        </w:rPr>
        <w:t>,</w:t>
      </w:r>
      <w:r w:rsidRPr="00F87594">
        <w:rPr>
          <w:rFonts w:ascii="Times New Roman" w:eastAsia="Times New Roman" w:hAnsi="Times New Roman" w:cs="Times New Roman"/>
          <w:sz w:val="24"/>
          <w:szCs w:val="24"/>
          <w:lang w:eastAsia="el-GR"/>
        </w:rPr>
        <w:t xml:space="preserve"> οι θετικές προβλέψεις υπερτερούν των αρνητικών. Συγκεκριμένα το 28,4% των επιχειρήσεων δήλωσαν ότι η ρευστότητα το επόμενο εξάμηνο θα αυξηθεί, το 42,8% ότι θα παραμείνει αμετάβλητη, ενώ μόλις το 18,7% δήλωσε πως θα μειωθεί (Γράφημα 15). Περισσότερο απαισιόδοξοι εμφανίζονται οι επιχειρήσεις με τζίρο έως 50.000 € όπου αποτελεί και την μοναδική κατηγορία όπου οι θετικές προβλέψεις υστερούν των αρνητικών (21,3% θα αυξηθεί έναντι 24,8% που δήλωσε ότι θα μειωθεί).</w:t>
      </w:r>
    </w:p>
    <w:p w:rsidR="006033EB" w:rsidRDefault="006033EB" w:rsidP="005941FC">
      <w:pPr>
        <w:spacing w:after="0" w:line="240" w:lineRule="auto"/>
        <w:jc w:val="both"/>
        <w:rPr>
          <w:rFonts w:ascii="Arial Narrow" w:eastAsia="Times New Roman" w:hAnsi="Arial Narrow" w:cs="Times New Roman"/>
          <w:sz w:val="24"/>
          <w:szCs w:val="24"/>
          <w:lang w:eastAsia="el-GR"/>
        </w:rPr>
      </w:pPr>
    </w:p>
    <w:p w:rsidR="00C55C08" w:rsidRPr="00F87594" w:rsidRDefault="00C55C08" w:rsidP="005941FC">
      <w:pPr>
        <w:spacing w:after="0" w:line="240" w:lineRule="auto"/>
        <w:jc w:val="both"/>
        <w:rPr>
          <w:rFonts w:ascii="Arial Narrow" w:eastAsia="Times New Roman" w:hAnsi="Arial Narrow" w:cs="Times New Roman"/>
          <w:b/>
          <w:sz w:val="24"/>
          <w:szCs w:val="24"/>
          <w:lang w:eastAsia="el-GR"/>
        </w:rPr>
      </w:pPr>
      <w:r w:rsidRPr="00F87594">
        <w:rPr>
          <w:rFonts w:ascii="Arial Narrow" w:eastAsia="Times New Roman" w:hAnsi="Arial Narrow" w:cs="Times New Roman"/>
          <w:b/>
          <w:sz w:val="24"/>
          <w:szCs w:val="24"/>
          <w:lang w:eastAsia="el-GR"/>
        </w:rPr>
        <w:t>Γράφημα15 - ΡΕΥΣΤΟΤΗΤΑ ΠΡΟΒΛΕΨΗ ΕΠΟΜΕΝΟΥ ΕΞΑΜΗΝΟΥ</w:t>
      </w:r>
    </w:p>
    <w:p w:rsidR="00C55C08" w:rsidRDefault="00C55C08" w:rsidP="005941FC">
      <w:pPr>
        <w:spacing w:after="0" w:line="240" w:lineRule="auto"/>
        <w:jc w:val="both"/>
        <w:rPr>
          <w:rFonts w:ascii="Arial Narrow" w:eastAsia="Times New Roman" w:hAnsi="Arial Narrow" w:cs="Times New Roman"/>
          <w:sz w:val="24"/>
          <w:szCs w:val="24"/>
          <w:lang w:eastAsia="el-GR"/>
        </w:rPr>
      </w:pPr>
      <w:r w:rsidRPr="00F87594">
        <w:rPr>
          <w:rFonts w:ascii="Arial Narrow" w:eastAsia="Times New Roman" w:hAnsi="Arial Narrow" w:cs="Times New Roman"/>
          <w:b/>
          <w:sz w:val="24"/>
          <w:szCs w:val="24"/>
          <w:lang w:eastAsia="el-GR"/>
        </w:rPr>
        <w:t>ΣΥΓΚΡΙΣΗ ΜΕ ΠΡΟΗΓΟΥΜΕΝΕΣ ΕΡΕΥΝΕΣ</w:t>
      </w:r>
    </w:p>
    <w:p w:rsidR="00C55C08" w:rsidRDefault="00C55C08" w:rsidP="005941FC">
      <w:pPr>
        <w:spacing w:after="0" w:line="240" w:lineRule="auto"/>
        <w:rPr>
          <w:rFonts w:ascii="Calibri" w:eastAsia="Times New Roman" w:hAnsi="Calibri" w:cs="Times New Roman"/>
          <w:noProof/>
          <w:sz w:val="20"/>
          <w:szCs w:val="20"/>
          <w:lang w:eastAsia="el-GR"/>
        </w:rPr>
      </w:pPr>
      <w:r w:rsidRPr="00C55C08">
        <w:rPr>
          <w:rFonts w:ascii="Calibri" w:eastAsia="Times New Roman" w:hAnsi="Calibri" w:cs="Times New Roman"/>
          <w:noProof/>
          <w:sz w:val="20"/>
          <w:szCs w:val="20"/>
          <w:lang w:eastAsia="el-GR"/>
        </w:rPr>
        <w:drawing>
          <wp:inline distT="0" distB="0" distL="0" distR="0" wp14:anchorId="1A166A59" wp14:editId="68FAA954">
            <wp:extent cx="6610350" cy="3209925"/>
            <wp:effectExtent l="0" t="0" r="19050" b="9525"/>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C55C08" w:rsidRDefault="00C55C08" w:rsidP="005941FC">
      <w:pPr>
        <w:spacing w:after="0" w:line="240" w:lineRule="auto"/>
        <w:rPr>
          <w:rFonts w:ascii="Calibri" w:eastAsia="Times New Roman" w:hAnsi="Calibri" w:cs="Times New Roman"/>
          <w:noProof/>
          <w:sz w:val="20"/>
          <w:szCs w:val="20"/>
          <w:lang w:eastAsia="el-GR"/>
        </w:rPr>
      </w:pPr>
    </w:p>
    <w:p w:rsidR="00C55C08" w:rsidRDefault="00C55C08" w:rsidP="005941FC">
      <w:pPr>
        <w:spacing w:after="0" w:line="240" w:lineRule="auto"/>
        <w:rPr>
          <w:rFonts w:ascii="Calibri" w:eastAsia="Times New Roman" w:hAnsi="Calibri" w:cs="Times New Roman"/>
          <w:noProof/>
          <w:sz w:val="20"/>
          <w:szCs w:val="20"/>
          <w:lang w:eastAsia="el-GR"/>
        </w:rPr>
      </w:pPr>
    </w:p>
    <w:p w:rsidR="00F87594" w:rsidRDefault="00F87594" w:rsidP="00F87594">
      <w:pPr>
        <w:spacing w:after="0" w:line="360" w:lineRule="auto"/>
        <w:jc w:val="both"/>
        <w:rPr>
          <w:rFonts w:ascii="Times New Roman" w:eastAsia="Times New Roman" w:hAnsi="Times New Roman" w:cs="Times New Roman"/>
          <w:noProof/>
          <w:sz w:val="24"/>
          <w:szCs w:val="24"/>
          <w:lang w:eastAsia="el-GR"/>
        </w:rPr>
      </w:pPr>
      <w:r w:rsidRPr="00F87594">
        <w:rPr>
          <w:rFonts w:ascii="Times New Roman" w:eastAsia="Times New Roman" w:hAnsi="Times New Roman" w:cs="Times New Roman"/>
          <w:noProof/>
          <w:sz w:val="24"/>
          <w:szCs w:val="24"/>
          <w:lang w:eastAsia="el-GR"/>
        </w:rPr>
        <w:t>Ως προς τις επενδυτικές προβλέψεις για το επόμενο εξάμηνο η έρευνα καταγράφει το μεγαλύτερο ποσοστό πρόθεσης αύξησης των επενδύσεων των ερευνών οικονομικού κλίματος του ΙΜΕ ΓΣΕΒΕΕ καθώς το 15,4% των επιχειρήσεων δηλώνει πως θα πραγματοποιήσει επενδύσεις το επόμενο διάστημα (Γράφημα 16).</w:t>
      </w:r>
    </w:p>
    <w:p w:rsidR="00F87594" w:rsidRDefault="00F87594" w:rsidP="00F87594">
      <w:pPr>
        <w:spacing w:after="0" w:line="360" w:lineRule="auto"/>
        <w:jc w:val="both"/>
        <w:rPr>
          <w:rFonts w:ascii="Times New Roman" w:eastAsia="Times New Roman" w:hAnsi="Times New Roman" w:cs="Times New Roman"/>
          <w:noProof/>
          <w:sz w:val="24"/>
          <w:szCs w:val="24"/>
          <w:lang w:eastAsia="el-GR"/>
        </w:rPr>
      </w:pPr>
    </w:p>
    <w:p w:rsidR="00F87594" w:rsidRDefault="00F87594" w:rsidP="005941FC">
      <w:pPr>
        <w:spacing w:after="0" w:line="240" w:lineRule="auto"/>
        <w:rPr>
          <w:rFonts w:ascii="Times New Roman" w:eastAsia="Times New Roman" w:hAnsi="Times New Roman" w:cs="Times New Roman"/>
          <w:b/>
          <w:noProof/>
          <w:sz w:val="24"/>
          <w:szCs w:val="24"/>
          <w:lang w:eastAsia="el-GR"/>
        </w:rPr>
      </w:pPr>
    </w:p>
    <w:p w:rsidR="00F87594" w:rsidRDefault="00F87594" w:rsidP="005941FC">
      <w:pPr>
        <w:spacing w:after="0" w:line="240" w:lineRule="auto"/>
        <w:rPr>
          <w:rFonts w:ascii="Times New Roman" w:eastAsia="Times New Roman" w:hAnsi="Times New Roman" w:cs="Times New Roman"/>
          <w:b/>
          <w:noProof/>
          <w:sz w:val="24"/>
          <w:szCs w:val="24"/>
          <w:lang w:eastAsia="el-GR"/>
        </w:rPr>
      </w:pPr>
    </w:p>
    <w:p w:rsidR="00F87594" w:rsidRDefault="00F87594" w:rsidP="005941FC">
      <w:pPr>
        <w:spacing w:after="0" w:line="240" w:lineRule="auto"/>
        <w:rPr>
          <w:rFonts w:ascii="Times New Roman" w:eastAsia="Times New Roman" w:hAnsi="Times New Roman" w:cs="Times New Roman"/>
          <w:b/>
          <w:noProof/>
          <w:sz w:val="24"/>
          <w:szCs w:val="24"/>
          <w:lang w:eastAsia="el-GR"/>
        </w:rPr>
      </w:pPr>
    </w:p>
    <w:p w:rsidR="00F87594" w:rsidRDefault="00F87594" w:rsidP="005941FC">
      <w:pPr>
        <w:spacing w:after="0" w:line="240" w:lineRule="auto"/>
        <w:rPr>
          <w:rFonts w:ascii="Times New Roman" w:eastAsia="Times New Roman" w:hAnsi="Times New Roman" w:cs="Times New Roman"/>
          <w:b/>
          <w:noProof/>
          <w:sz w:val="24"/>
          <w:szCs w:val="24"/>
          <w:lang w:eastAsia="el-GR"/>
        </w:rPr>
      </w:pPr>
    </w:p>
    <w:p w:rsidR="00F87594" w:rsidRDefault="00F87594" w:rsidP="005941FC">
      <w:pPr>
        <w:spacing w:after="0" w:line="240" w:lineRule="auto"/>
        <w:rPr>
          <w:rFonts w:ascii="Times New Roman" w:eastAsia="Times New Roman" w:hAnsi="Times New Roman" w:cs="Times New Roman"/>
          <w:b/>
          <w:noProof/>
          <w:sz w:val="24"/>
          <w:szCs w:val="24"/>
          <w:lang w:eastAsia="el-GR"/>
        </w:rPr>
      </w:pPr>
    </w:p>
    <w:p w:rsidR="00F87594" w:rsidRDefault="00F87594" w:rsidP="005941FC">
      <w:pPr>
        <w:spacing w:after="0" w:line="240" w:lineRule="auto"/>
        <w:rPr>
          <w:rFonts w:ascii="Times New Roman" w:eastAsia="Times New Roman" w:hAnsi="Times New Roman" w:cs="Times New Roman"/>
          <w:b/>
          <w:noProof/>
          <w:sz w:val="24"/>
          <w:szCs w:val="24"/>
          <w:lang w:eastAsia="el-GR"/>
        </w:rPr>
      </w:pPr>
    </w:p>
    <w:p w:rsidR="00C55C08" w:rsidRPr="00F87594" w:rsidRDefault="00C55C08" w:rsidP="005941FC">
      <w:pPr>
        <w:spacing w:after="0" w:line="240" w:lineRule="auto"/>
        <w:rPr>
          <w:rFonts w:ascii="Times New Roman" w:eastAsia="Times New Roman" w:hAnsi="Times New Roman" w:cs="Times New Roman"/>
          <w:b/>
          <w:noProof/>
          <w:sz w:val="24"/>
          <w:szCs w:val="24"/>
          <w:lang w:eastAsia="el-GR"/>
        </w:rPr>
      </w:pPr>
      <w:r w:rsidRPr="00F87594">
        <w:rPr>
          <w:rFonts w:ascii="Times New Roman" w:eastAsia="Times New Roman" w:hAnsi="Times New Roman" w:cs="Times New Roman"/>
          <w:b/>
          <w:noProof/>
          <w:sz w:val="24"/>
          <w:szCs w:val="24"/>
          <w:lang w:eastAsia="el-GR"/>
        </w:rPr>
        <w:lastRenderedPageBreak/>
        <w:t xml:space="preserve">Γράφημα 16 – </w:t>
      </w:r>
      <w:r w:rsidR="00C2130E" w:rsidRPr="00F87594">
        <w:rPr>
          <w:rFonts w:ascii="Times New Roman" w:eastAsia="Times New Roman" w:hAnsi="Times New Roman" w:cs="Times New Roman"/>
          <w:b/>
          <w:noProof/>
          <w:sz w:val="24"/>
          <w:szCs w:val="24"/>
          <w:lang w:eastAsia="el-GR"/>
        </w:rPr>
        <w:t>ΕΠΕΝΔΥΤΙΚΗ ΔΡΑΣΤΗΡΙΟΤΗΤΑ ΠΡΟΒΛΕΨΗ ΕΠΟΜΕΝΟΥ ΕΞΑΜΗΝΟΥ</w:t>
      </w:r>
      <w:r w:rsidR="00C2130E" w:rsidRPr="00F87594">
        <w:rPr>
          <w:rFonts w:ascii="Times New Roman" w:eastAsia="Times New Roman" w:hAnsi="Times New Roman" w:cs="Times New Roman"/>
          <w:b/>
          <w:noProof/>
          <w:sz w:val="24"/>
          <w:szCs w:val="24"/>
          <w:lang w:eastAsia="el-GR"/>
        </w:rPr>
        <w:br/>
        <w:t xml:space="preserve"> ΣΥΓΚΡΙΣΗ ΜΕ ΠΡΟΗΓΟΥΜΕΝΕΣ ΕΡΕΥΝΕΣ</w:t>
      </w:r>
    </w:p>
    <w:p w:rsidR="00C55C08" w:rsidRPr="00F87594" w:rsidRDefault="00C55C08" w:rsidP="005941FC">
      <w:pPr>
        <w:spacing w:after="0" w:line="240" w:lineRule="auto"/>
        <w:rPr>
          <w:rFonts w:ascii="Times New Roman" w:eastAsia="Times New Roman" w:hAnsi="Times New Roman" w:cs="Times New Roman"/>
          <w:noProof/>
          <w:sz w:val="24"/>
          <w:szCs w:val="24"/>
          <w:lang w:eastAsia="el-GR"/>
        </w:rPr>
      </w:pPr>
    </w:p>
    <w:p w:rsidR="00C2130E" w:rsidRDefault="00C55C08" w:rsidP="005941FC">
      <w:pPr>
        <w:spacing w:after="0" w:line="240" w:lineRule="auto"/>
        <w:rPr>
          <w:rFonts w:ascii="Calibri" w:eastAsia="Times New Roman" w:hAnsi="Calibri" w:cs="Times New Roman"/>
          <w:noProof/>
          <w:sz w:val="20"/>
          <w:szCs w:val="20"/>
          <w:lang w:eastAsia="el-GR"/>
        </w:rPr>
      </w:pPr>
      <w:r w:rsidRPr="00C55C08">
        <w:rPr>
          <w:rFonts w:ascii="Calibri" w:eastAsia="Times New Roman" w:hAnsi="Calibri" w:cs="Times New Roman"/>
          <w:noProof/>
          <w:sz w:val="20"/>
          <w:szCs w:val="20"/>
          <w:lang w:eastAsia="el-GR"/>
        </w:rPr>
        <w:drawing>
          <wp:inline distT="0" distB="0" distL="0" distR="0" wp14:anchorId="4F43B5DE" wp14:editId="73A4E2A2">
            <wp:extent cx="6562725" cy="3000375"/>
            <wp:effectExtent l="0" t="0" r="9525" b="9525"/>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C2130E" w:rsidRDefault="00C2130E" w:rsidP="005941FC">
      <w:pPr>
        <w:spacing w:after="0" w:line="240" w:lineRule="auto"/>
        <w:rPr>
          <w:rFonts w:ascii="Calibri" w:eastAsia="Times New Roman" w:hAnsi="Calibri" w:cs="Times New Roman"/>
          <w:noProof/>
          <w:sz w:val="20"/>
          <w:szCs w:val="20"/>
          <w:lang w:eastAsia="el-GR"/>
        </w:rPr>
      </w:pPr>
    </w:p>
    <w:p w:rsidR="00C2130E" w:rsidRDefault="00C2130E" w:rsidP="005941FC">
      <w:pPr>
        <w:spacing w:after="0" w:line="240" w:lineRule="auto"/>
        <w:rPr>
          <w:rFonts w:ascii="Calibri" w:eastAsia="Times New Roman" w:hAnsi="Calibri" w:cs="Times New Roman"/>
          <w:noProof/>
          <w:sz w:val="20"/>
          <w:szCs w:val="20"/>
          <w:lang w:eastAsia="el-GR"/>
        </w:rPr>
      </w:pPr>
    </w:p>
    <w:p w:rsidR="00C2130E" w:rsidRDefault="00C2130E" w:rsidP="005941FC">
      <w:pPr>
        <w:spacing w:after="0" w:line="240" w:lineRule="auto"/>
        <w:rPr>
          <w:rFonts w:ascii="Calibri" w:eastAsia="Times New Roman" w:hAnsi="Calibri" w:cs="Times New Roman"/>
          <w:noProof/>
          <w:sz w:val="20"/>
          <w:szCs w:val="20"/>
          <w:lang w:eastAsia="el-GR"/>
        </w:rPr>
      </w:pPr>
    </w:p>
    <w:p w:rsidR="00C2130E" w:rsidRPr="00540700" w:rsidRDefault="00C2130E" w:rsidP="00540700">
      <w:pPr>
        <w:spacing w:after="0" w:line="240" w:lineRule="auto"/>
        <w:jc w:val="both"/>
        <w:rPr>
          <w:rFonts w:ascii="Times New Roman" w:eastAsia="Times New Roman" w:hAnsi="Times New Roman" w:cs="Times New Roman"/>
          <w:noProof/>
          <w:sz w:val="24"/>
          <w:szCs w:val="24"/>
          <w:lang w:eastAsia="el-GR"/>
        </w:rPr>
      </w:pPr>
      <w:r w:rsidRPr="00540700">
        <w:rPr>
          <w:rFonts w:ascii="Times New Roman" w:eastAsia="Times New Roman" w:hAnsi="Times New Roman" w:cs="Times New Roman"/>
          <w:b/>
          <w:sz w:val="24"/>
          <w:szCs w:val="24"/>
          <w:u w:val="single"/>
          <w:lang w:eastAsia="el-GR"/>
        </w:rPr>
        <w:t>ΑΠΑΣΧΟΛΗΣΗ – ΣΥΝΘΗΚΕΣ ΕΡΓΑΣΙΑΣ</w:t>
      </w:r>
    </w:p>
    <w:p w:rsidR="00C2130E" w:rsidRPr="00540700" w:rsidRDefault="00C2130E" w:rsidP="00540700">
      <w:pPr>
        <w:spacing w:after="0" w:line="240" w:lineRule="auto"/>
        <w:jc w:val="both"/>
        <w:rPr>
          <w:rFonts w:ascii="Times New Roman" w:eastAsia="Times New Roman" w:hAnsi="Times New Roman" w:cs="Times New Roman"/>
          <w:noProof/>
          <w:sz w:val="24"/>
          <w:szCs w:val="24"/>
          <w:lang w:eastAsia="el-GR"/>
        </w:rPr>
      </w:pPr>
    </w:p>
    <w:p w:rsidR="00C2130E" w:rsidRPr="00540700" w:rsidRDefault="00C2130E" w:rsidP="00540700">
      <w:pPr>
        <w:spacing w:after="0" w:line="240" w:lineRule="auto"/>
        <w:jc w:val="both"/>
        <w:rPr>
          <w:rFonts w:ascii="Times New Roman" w:eastAsia="Times New Roman" w:hAnsi="Times New Roman" w:cs="Times New Roman"/>
          <w:noProof/>
          <w:sz w:val="24"/>
          <w:szCs w:val="24"/>
          <w:lang w:eastAsia="el-GR"/>
        </w:rPr>
      </w:pPr>
      <w:r w:rsidRPr="00540700">
        <w:rPr>
          <w:rFonts w:ascii="Times New Roman" w:eastAsia="Times New Roman" w:hAnsi="Times New Roman" w:cs="Times New Roman"/>
          <w:noProof/>
          <w:sz w:val="24"/>
          <w:szCs w:val="24"/>
          <w:lang w:eastAsia="el-GR"/>
        </w:rPr>
        <w:t xml:space="preserve">Η συνεχιζόμενη αποκλιμάκωση της ανεργίας που αποτυπώνονται στα επίσημα στοιχεία της ΕΛΣΤΑΤ (17,2% - Μάιος  2019) καταγράφεται και στην αποτίμηση της έρευνας κλίματος του ΙΜΕ ΓΣΕΒΕΕ για την απασχόληση όπου οι επιχειρήσεις που προσέλαβαν προσωπικό είναι περισσότερες από εκείνες που απέλυσαν (9,9% έναντι 5,8%) (Γράφημα 17). </w:t>
      </w:r>
    </w:p>
    <w:p w:rsidR="00C2130E" w:rsidRPr="00540700" w:rsidRDefault="00C2130E" w:rsidP="00540700">
      <w:pPr>
        <w:spacing w:after="0" w:line="240" w:lineRule="auto"/>
        <w:jc w:val="both"/>
        <w:rPr>
          <w:rFonts w:ascii="Times New Roman" w:eastAsia="Times New Roman" w:hAnsi="Times New Roman" w:cs="Times New Roman"/>
          <w:noProof/>
          <w:sz w:val="24"/>
          <w:szCs w:val="24"/>
          <w:lang w:eastAsia="el-GR"/>
        </w:rPr>
      </w:pPr>
    </w:p>
    <w:p w:rsidR="00540700" w:rsidRPr="00540700" w:rsidRDefault="00C2130E" w:rsidP="00540700">
      <w:pPr>
        <w:spacing w:after="0" w:line="240" w:lineRule="auto"/>
        <w:jc w:val="both"/>
        <w:rPr>
          <w:rFonts w:ascii="Times New Roman" w:eastAsia="Times New Roman" w:hAnsi="Times New Roman" w:cs="Times New Roman"/>
          <w:b/>
          <w:noProof/>
          <w:sz w:val="24"/>
          <w:szCs w:val="24"/>
          <w:lang w:eastAsia="el-GR"/>
        </w:rPr>
      </w:pPr>
      <w:r w:rsidRPr="00540700">
        <w:rPr>
          <w:rFonts w:ascii="Times New Roman" w:eastAsia="Times New Roman" w:hAnsi="Times New Roman" w:cs="Times New Roman"/>
          <w:b/>
          <w:noProof/>
          <w:sz w:val="24"/>
          <w:szCs w:val="24"/>
          <w:lang w:eastAsia="el-GR"/>
        </w:rPr>
        <w:t>Γράφημα 17 - ΑΠΑΣΧΟΛΗΣΗ  ΑΠΟΤΙΜΗΣΗ ΤΕΛΕΥΤΑΙΟΥ ΕΞΑΜΗΝΟΥ</w:t>
      </w:r>
    </w:p>
    <w:p w:rsidR="00C2130E" w:rsidRPr="00540700" w:rsidRDefault="00C2130E" w:rsidP="00540700">
      <w:pPr>
        <w:spacing w:after="0" w:line="240" w:lineRule="auto"/>
        <w:jc w:val="both"/>
        <w:rPr>
          <w:rFonts w:ascii="Times New Roman" w:eastAsia="Times New Roman" w:hAnsi="Times New Roman" w:cs="Times New Roman"/>
          <w:b/>
          <w:noProof/>
          <w:sz w:val="24"/>
          <w:szCs w:val="24"/>
          <w:lang w:eastAsia="el-GR"/>
        </w:rPr>
      </w:pPr>
      <w:r w:rsidRPr="00540700">
        <w:rPr>
          <w:rFonts w:ascii="Times New Roman" w:eastAsia="Times New Roman" w:hAnsi="Times New Roman" w:cs="Times New Roman"/>
          <w:b/>
          <w:noProof/>
          <w:sz w:val="24"/>
          <w:szCs w:val="24"/>
          <w:lang w:eastAsia="el-GR"/>
        </w:rPr>
        <w:t>ΣΥΓΚΡΙΣΗ ΜΕ ΠΡΟΗΓΟΥΜΕΝΕΣ ΕΡΕΥΝΕΣ</w:t>
      </w:r>
    </w:p>
    <w:p w:rsidR="00C2130E" w:rsidRDefault="00C2130E" w:rsidP="00C2130E">
      <w:pPr>
        <w:spacing w:after="0" w:line="240" w:lineRule="auto"/>
        <w:rPr>
          <w:rFonts w:ascii="Calibri" w:eastAsia="Times New Roman" w:hAnsi="Calibri" w:cs="Times New Roman"/>
          <w:noProof/>
          <w:sz w:val="20"/>
          <w:szCs w:val="20"/>
          <w:lang w:eastAsia="el-GR"/>
        </w:rPr>
      </w:pPr>
    </w:p>
    <w:p w:rsidR="00C2130E" w:rsidRDefault="00C2130E" w:rsidP="00C2130E">
      <w:pPr>
        <w:spacing w:after="0" w:line="240" w:lineRule="auto"/>
        <w:rPr>
          <w:rFonts w:ascii="Calibri" w:eastAsia="Times New Roman" w:hAnsi="Calibri" w:cs="Times New Roman"/>
          <w:noProof/>
          <w:sz w:val="20"/>
          <w:szCs w:val="20"/>
          <w:lang w:eastAsia="el-GR"/>
        </w:rPr>
      </w:pPr>
      <w:r w:rsidRPr="00C2130E">
        <w:rPr>
          <w:rFonts w:ascii="Calibri" w:eastAsia="Times New Roman" w:hAnsi="Calibri" w:cs="Times New Roman"/>
          <w:noProof/>
          <w:sz w:val="20"/>
          <w:szCs w:val="20"/>
          <w:lang w:eastAsia="el-GR"/>
        </w:rPr>
        <w:drawing>
          <wp:inline distT="0" distB="0" distL="0" distR="0" wp14:anchorId="28521A89" wp14:editId="70D0CE96">
            <wp:extent cx="6896100" cy="3057525"/>
            <wp:effectExtent l="0" t="0" r="19050" b="9525"/>
            <wp:docPr id="5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C2130E" w:rsidRDefault="00C2130E" w:rsidP="00C2130E">
      <w:pPr>
        <w:spacing w:after="0" w:line="240" w:lineRule="auto"/>
        <w:rPr>
          <w:rFonts w:ascii="Calibri" w:eastAsia="Times New Roman" w:hAnsi="Calibri" w:cs="Times New Roman"/>
          <w:noProof/>
          <w:sz w:val="20"/>
          <w:szCs w:val="20"/>
          <w:lang w:eastAsia="el-GR"/>
        </w:rPr>
      </w:pPr>
    </w:p>
    <w:p w:rsidR="00227378" w:rsidRPr="00540700" w:rsidRDefault="00540700" w:rsidP="007B59CB">
      <w:pPr>
        <w:spacing w:after="0" w:line="360" w:lineRule="auto"/>
        <w:jc w:val="both"/>
        <w:rPr>
          <w:rFonts w:ascii="Times New Roman" w:eastAsia="Times New Roman" w:hAnsi="Times New Roman" w:cs="Times New Roman"/>
          <w:noProof/>
          <w:sz w:val="24"/>
          <w:szCs w:val="24"/>
          <w:lang w:eastAsia="el-GR"/>
        </w:rPr>
      </w:pPr>
      <w:r w:rsidRPr="00540700">
        <w:rPr>
          <w:rFonts w:ascii="Times New Roman" w:eastAsia="Times New Roman" w:hAnsi="Times New Roman" w:cs="Times New Roman"/>
          <w:noProof/>
          <w:sz w:val="24"/>
          <w:szCs w:val="24"/>
          <w:lang w:eastAsia="el-GR"/>
        </w:rPr>
        <w:t>Οι προοπτικές μάλιστα για το επόμενο εξάμηνο καταγράφουν για πρώτη φορά σε εαρινή έρευνα κλίματος του ΙΜΕ ΓΣΕΒΕΕ θετικό ισοζύγιο καθώς οι επιχειρήσεις που δηλώνουν ότι θα προσλάβουν προσωπικό είναι περισσότερες από εκείνες που δηλώνουν πως θα απολύσουν (7,9% έναντι 7,7%). Έτσι ο δείκτης απασχόλησης για το επόμενο εξάμηνο διαμορφώνεται στις 100,2 μονάδες, που σημαίνει ότι αναμένεται αύξηση της απασχόλησης καθώς βρίσκεται πάνω από το όριο των 100 μονάδων όπου οι προσλήψεις είναι ίσες με τις απολύσεις/αποχωρήσεις</w:t>
      </w:r>
      <w:r w:rsidR="007B59CB">
        <w:rPr>
          <w:rFonts w:ascii="Times New Roman" w:eastAsia="Times New Roman" w:hAnsi="Times New Roman" w:cs="Times New Roman"/>
          <w:noProof/>
          <w:sz w:val="24"/>
          <w:szCs w:val="24"/>
          <w:lang w:eastAsia="el-GR"/>
        </w:rPr>
        <w:t xml:space="preserve"> </w:t>
      </w:r>
      <w:r w:rsidRPr="00540700">
        <w:rPr>
          <w:rFonts w:ascii="Times New Roman" w:eastAsia="Times New Roman" w:hAnsi="Times New Roman" w:cs="Times New Roman"/>
          <w:noProof/>
          <w:sz w:val="24"/>
          <w:szCs w:val="24"/>
          <w:lang w:eastAsia="el-GR"/>
        </w:rPr>
        <w:t>(Γράφημα 18).</w:t>
      </w:r>
    </w:p>
    <w:p w:rsidR="00540700" w:rsidRPr="00540700" w:rsidRDefault="00540700" w:rsidP="00540700">
      <w:pPr>
        <w:spacing w:after="0" w:line="360" w:lineRule="auto"/>
        <w:rPr>
          <w:rFonts w:ascii="Times New Roman" w:eastAsia="Times New Roman" w:hAnsi="Times New Roman" w:cs="Times New Roman"/>
          <w:noProof/>
          <w:sz w:val="24"/>
          <w:szCs w:val="24"/>
          <w:lang w:eastAsia="el-GR"/>
        </w:rPr>
      </w:pPr>
    </w:p>
    <w:p w:rsidR="00227378" w:rsidRPr="00540700" w:rsidRDefault="00227378" w:rsidP="00540700">
      <w:pPr>
        <w:spacing w:after="0" w:line="240" w:lineRule="auto"/>
        <w:rPr>
          <w:rFonts w:ascii="Times New Roman" w:eastAsia="Times New Roman" w:hAnsi="Times New Roman" w:cs="Times New Roman"/>
          <w:b/>
          <w:noProof/>
          <w:sz w:val="24"/>
          <w:szCs w:val="24"/>
          <w:lang w:eastAsia="el-GR"/>
        </w:rPr>
      </w:pPr>
      <w:r w:rsidRPr="00540700">
        <w:rPr>
          <w:rFonts w:ascii="Times New Roman" w:eastAsia="Times New Roman" w:hAnsi="Times New Roman" w:cs="Times New Roman"/>
          <w:b/>
          <w:noProof/>
          <w:sz w:val="24"/>
          <w:szCs w:val="24"/>
          <w:lang w:eastAsia="el-GR"/>
        </w:rPr>
        <w:t>Γράφημα</w:t>
      </w:r>
      <w:r w:rsidR="00D23808" w:rsidRPr="00540700">
        <w:rPr>
          <w:rFonts w:ascii="Times New Roman" w:eastAsia="Times New Roman" w:hAnsi="Times New Roman" w:cs="Times New Roman"/>
          <w:b/>
          <w:noProof/>
          <w:sz w:val="24"/>
          <w:szCs w:val="24"/>
          <w:lang w:eastAsia="el-GR"/>
        </w:rPr>
        <w:t xml:space="preserve"> 18</w:t>
      </w:r>
      <w:r w:rsidR="00540700" w:rsidRPr="00540700">
        <w:rPr>
          <w:rFonts w:ascii="Times New Roman" w:eastAsia="Times New Roman" w:hAnsi="Times New Roman" w:cs="Times New Roman"/>
          <w:b/>
          <w:noProof/>
          <w:sz w:val="24"/>
          <w:szCs w:val="24"/>
          <w:lang w:eastAsia="el-GR"/>
        </w:rPr>
        <w:t>: Δεί</w:t>
      </w:r>
      <w:r w:rsidRPr="00540700">
        <w:rPr>
          <w:rFonts w:ascii="Times New Roman" w:eastAsia="Times New Roman" w:hAnsi="Times New Roman" w:cs="Times New Roman"/>
          <w:b/>
          <w:noProof/>
          <w:sz w:val="24"/>
          <w:szCs w:val="24"/>
          <w:lang w:eastAsia="el-GR"/>
        </w:rPr>
        <w:t>κτης απασχόλησης (προβλ</w:t>
      </w:r>
      <w:r w:rsidR="00DF0517" w:rsidRPr="00540700">
        <w:rPr>
          <w:rFonts w:ascii="Times New Roman" w:eastAsia="Times New Roman" w:hAnsi="Times New Roman" w:cs="Times New Roman"/>
          <w:b/>
          <w:noProof/>
          <w:sz w:val="24"/>
          <w:szCs w:val="24"/>
          <w:lang w:eastAsia="el-GR"/>
        </w:rPr>
        <w:t>έ</w:t>
      </w:r>
      <w:r w:rsidRPr="00540700">
        <w:rPr>
          <w:rFonts w:ascii="Times New Roman" w:eastAsia="Times New Roman" w:hAnsi="Times New Roman" w:cs="Times New Roman"/>
          <w:b/>
          <w:noProof/>
          <w:sz w:val="24"/>
          <w:szCs w:val="24"/>
          <w:lang w:eastAsia="el-GR"/>
        </w:rPr>
        <w:t>ψεις επόμενου εξαμήνου)</w:t>
      </w:r>
    </w:p>
    <w:p w:rsidR="00C2130E" w:rsidRPr="00C2130E" w:rsidRDefault="00C2130E" w:rsidP="00C2130E">
      <w:pPr>
        <w:spacing w:after="0" w:line="240" w:lineRule="auto"/>
        <w:rPr>
          <w:rFonts w:ascii="Calibri" w:eastAsia="Times New Roman" w:hAnsi="Calibri" w:cs="Times New Roman"/>
          <w:noProof/>
          <w:sz w:val="20"/>
          <w:szCs w:val="20"/>
          <w:lang w:eastAsia="el-GR"/>
        </w:rPr>
      </w:pPr>
    </w:p>
    <w:p w:rsidR="00C2130E" w:rsidRDefault="00227378" w:rsidP="00C2130E">
      <w:pPr>
        <w:spacing w:after="0" w:line="240" w:lineRule="auto"/>
        <w:rPr>
          <w:rFonts w:ascii="Calibri" w:eastAsia="Times New Roman" w:hAnsi="Calibri" w:cs="Times New Roman"/>
          <w:noProof/>
          <w:sz w:val="20"/>
          <w:szCs w:val="20"/>
          <w:lang w:eastAsia="el-GR"/>
        </w:rPr>
      </w:pPr>
      <w:r>
        <w:rPr>
          <w:noProof/>
          <w:lang w:eastAsia="el-GR"/>
        </w:rPr>
        <w:drawing>
          <wp:inline distT="0" distB="0" distL="0" distR="0" wp14:anchorId="55351C13" wp14:editId="7182EB2D">
            <wp:extent cx="6505575" cy="2647950"/>
            <wp:effectExtent l="0" t="0" r="9525" b="19050"/>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540700" w:rsidRDefault="00540700" w:rsidP="00540700">
      <w:pPr>
        <w:spacing w:after="0" w:line="360" w:lineRule="auto"/>
        <w:jc w:val="both"/>
        <w:rPr>
          <w:rFonts w:ascii="Times New Roman" w:eastAsia="Times New Roman" w:hAnsi="Times New Roman" w:cs="Times New Roman"/>
          <w:noProof/>
          <w:sz w:val="24"/>
          <w:szCs w:val="24"/>
          <w:lang w:eastAsia="el-GR"/>
        </w:rPr>
      </w:pPr>
    </w:p>
    <w:p w:rsidR="00227378" w:rsidRPr="00540700" w:rsidRDefault="00C2130E" w:rsidP="00540700">
      <w:pPr>
        <w:spacing w:after="0" w:line="360" w:lineRule="auto"/>
        <w:jc w:val="both"/>
        <w:rPr>
          <w:rFonts w:ascii="Times New Roman" w:eastAsia="Times New Roman" w:hAnsi="Times New Roman" w:cs="Times New Roman"/>
          <w:noProof/>
          <w:sz w:val="24"/>
          <w:szCs w:val="24"/>
          <w:lang w:eastAsia="el-GR"/>
        </w:rPr>
      </w:pPr>
      <w:r w:rsidRPr="00540700">
        <w:rPr>
          <w:rFonts w:ascii="Times New Roman" w:eastAsia="Times New Roman" w:hAnsi="Times New Roman" w:cs="Times New Roman"/>
          <w:noProof/>
          <w:sz w:val="24"/>
          <w:szCs w:val="24"/>
          <w:lang w:eastAsia="el-GR"/>
        </w:rPr>
        <w:t>Και σε αυτή την έρευνα του ΙΜΕ ΓΣΕΒΕΕ επαληθεύονται τα ευρήματα των προηγούμενων ερευνών αλλά και επίσημων στοιχείων (Μηνιαία Δελτία ΕΡΓΑΝΗ) για την ύπαρξη υψηλού ποσοστού ευέλικτων μορφών απασχόλησης.  Περίπου 4 στις 10 επιχειρήσεις που απασχολουν προσωπικό (38,5%) είναι με ευλικτες μορφές απασχόλησης</w:t>
      </w:r>
      <w:r w:rsidR="00D23808" w:rsidRPr="00540700">
        <w:rPr>
          <w:rFonts w:ascii="Times New Roman" w:eastAsia="Times New Roman" w:hAnsi="Times New Roman" w:cs="Times New Roman"/>
          <w:noProof/>
          <w:sz w:val="24"/>
          <w:szCs w:val="24"/>
          <w:lang w:eastAsia="el-GR"/>
        </w:rPr>
        <w:t xml:space="preserve"> (Γράφημα 19)</w:t>
      </w:r>
      <w:r w:rsidRPr="00540700">
        <w:rPr>
          <w:rFonts w:ascii="Times New Roman" w:eastAsia="Times New Roman" w:hAnsi="Times New Roman" w:cs="Times New Roman"/>
          <w:noProof/>
          <w:sz w:val="24"/>
          <w:szCs w:val="24"/>
          <w:lang w:eastAsia="el-GR"/>
        </w:rPr>
        <w:t>, ενώ περίπου 3 στις 10 από τις επιχειρήσεις από εκείνες που προτίθενται να προ</w:t>
      </w:r>
      <w:r w:rsidR="00540700" w:rsidRPr="00540700">
        <w:rPr>
          <w:rFonts w:ascii="Times New Roman" w:eastAsia="Times New Roman" w:hAnsi="Times New Roman" w:cs="Times New Roman"/>
          <w:noProof/>
          <w:sz w:val="24"/>
          <w:szCs w:val="24"/>
          <w:lang w:eastAsia="el-GR"/>
        </w:rPr>
        <w:t>σλάβουν προσωπικό το επόμενο διάστημα δηλώ</w:t>
      </w:r>
      <w:r w:rsidRPr="00540700">
        <w:rPr>
          <w:rFonts w:ascii="Times New Roman" w:eastAsia="Times New Roman" w:hAnsi="Times New Roman" w:cs="Times New Roman"/>
          <w:noProof/>
          <w:sz w:val="24"/>
          <w:szCs w:val="24"/>
          <w:lang w:eastAsia="el-GR"/>
        </w:rPr>
        <w:t>νουν πως θα είναι με καθεστώς μερικής απασχόλησης</w:t>
      </w:r>
      <w:r w:rsidR="00D23808" w:rsidRPr="00540700">
        <w:rPr>
          <w:rFonts w:ascii="Times New Roman" w:eastAsia="Times New Roman" w:hAnsi="Times New Roman" w:cs="Times New Roman"/>
          <w:noProof/>
          <w:sz w:val="24"/>
          <w:szCs w:val="24"/>
          <w:lang w:eastAsia="el-GR"/>
        </w:rPr>
        <w:t xml:space="preserve"> (Γράφημα 20)</w:t>
      </w:r>
      <w:r w:rsidRPr="00540700">
        <w:rPr>
          <w:rFonts w:ascii="Times New Roman" w:eastAsia="Times New Roman" w:hAnsi="Times New Roman" w:cs="Times New Roman"/>
          <w:noProof/>
          <w:sz w:val="24"/>
          <w:szCs w:val="24"/>
          <w:lang w:eastAsia="el-GR"/>
        </w:rPr>
        <w:t xml:space="preserve">.  </w:t>
      </w:r>
    </w:p>
    <w:p w:rsidR="00227378" w:rsidRDefault="00227378" w:rsidP="00C2130E">
      <w:pPr>
        <w:spacing w:after="0" w:line="240" w:lineRule="auto"/>
        <w:rPr>
          <w:rFonts w:ascii="Calibri" w:eastAsia="Times New Roman" w:hAnsi="Calibri" w:cs="Times New Roman"/>
          <w:noProof/>
          <w:sz w:val="20"/>
          <w:szCs w:val="20"/>
          <w:lang w:eastAsia="el-GR"/>
        </w:rPr>
      </w:pPr>
    </w:p>
    <w:p w:rsidR="00227378" w:rsidRDefault="00227378" w:rsidP="00C2130E">
      <w:pPr>
        <w:spacing w:after="0" w:line="240" w:lineRule="auto"/>
        <w:rPr>
          <w:rFonts w:ascii="Calibri" w:eastAsia="Times New Roman" w:hAnsi="Calibri" w:cs="Times New Roman"/>
          <w:noProof/>
          <w:sz w:val="20"/>
          <w:szCs w:val="20"/>
          <w:lang w:eastAsia="el-GR"/>
        </w:rPr>
      </w:pPr>
    </w:p>
    <w:p w:rsidR="00540700" w:rsidRDefault="00540700" w:rsidP="00C2130E">
      <w:pPr>
        <w:spacing w:after="0" w:line="240" w:lineRule="auto"/>
        <w:rPr>
          <w:rFonts w:ascii="Calibri" w:eastAsia="Times New Roman" w:hAnsi="Calibri" w:cs="Times New Roman"/>
          <w:noProof/>
          <w:sz w:val="20"/>
          <w:szCs w:val="20"/>
          <w:lang w:eastAsia="el-GR"/>
        </w:rPr>
      </w:pPr>
    </w:p>
    <w:p w:rsidR="00540700" w:rsidRDefault="00540700" w:rsidP="00C2130E">
      <w:pPr>
        <w:spacing w:after="0" w:line="240" w:lineRule="auto"/>
        <w:rPr>
          <w:rFonts w:ascii="Calibri" w:eastAsia="Times New Roman" w:hAnsi="Calibri" w:cs="Times New Roman"/>
          <w:noProof/>
          <w:sz w:val="20"/>
          <w:szCs w:val="20"/>
          <w:lang w:eastAsia="el-GR"/>
        </w:rPr>
      </w:pPr>
    </w:p>
    <w:p w:rsidR="00540700" w:rsidRDefault="00540700" w:rsidP="00C2130E">
      <w:pPr>
        <w:spacing w:after="0" w:line="240" w:lineRule="auto"/>
        <w:rPr>
          <w:rFonts w:ascii="Calibri" w:eastAsia="Times New Roman" w:hAnsi="Calibri" w:cs="Times New Roman"/>
          <w:noProof/>
          <w:sz w:val="20"/>
          <w:szCs w:val="20"/>
          <w:lang w:eastAsia="el-GR"/>
        </w:rPr>
      </w:pPr>
    </w:p>
    <w:p w:rsidR="00540700" w:rsidRDefault="00540700" w:rsidP="00C2130E">
      <w:pPr>
        <w:spacing w:after="0" w:line="240" w:lineRule="auto"/>
        <w:rPr>
          <w:rFonts w:ascii="Calibri" w:eastAsia="Times New Roman" w:hAnsi="Calibri" w:cs="Times New Roman"/>
          <w:noProof/>
          <w:sz w:val="20"/>
          <w:szCs w:val="20"/>
          <w:lang w:eastAsia="el-GR"/>
        </w:rPr>
      </w:pPr>
    </w:p>
    <w:p w:rsidR="00540700" w:rsidRDefault="00540700" w:rsidP="00C2130E">
      <w:pPr>
        <w:spacing w:after="0" w:line="240" w:lineRule="auto"/>
        <w:rPr>
          <w:rFonts w:ascii="Calibri" w:eastAsia="Times New Roman" w:hAnsi="Calibri" w:cs="Times New Roman"/>
          <w:noProof/>
          <w:sz w:val="20"/>
          <w:szCs w:val="20"/>
          <w:lang w:eastAsia="el-GR"/>
        </w:rPr>
      </w:pPr>
    </w:p>
    <w:p w:rsidR="00540700" w:rsidRDefault="00540700" w:rsidP="00C2130E">
      <w:pPr>
        <w:spacing w:after="0" w:line="240" w:lineRule="auto"/>
        <w:rPr>
          <w:rFonts w:ascii="Calibri" w:eastAsia="Times New Roman" w:hAnsi="Calibri" w:cs="Times New Roman"/>
          <w:noProof/>
          <w:sz w:val="20"/>
          <w:szCs w:val="20"/>
          <w:lang w:eastAsia="el-GR"/>
        </w:rPr>
      </w:pPr>
    </w:p>
    <w:p w:rsidR="00540700" w:rsidRDefault="00540700" w:rsidP="00C2130E">
      <w:pPr>
        <w:spacing w:after="0" w:line="240" w:lineRule="auto"/>
        <w:rPr>
          <w:rFonts w:ascii="Calibri" w:eastAsia="Times New Roman" w:hAnsi="Calibri" w:cs="Times New Roman"/>
          <w:noProof/>
          <w:sz w:val="20"/>
          <w:szCs w:val="20"/>
          <w:lang w:eastAsia="el-GR"/>
        </w:rPr>
      </w:pPr>
    </w:p>
    <w:p w:rsidR="00540700" w:rsidRDefault="00540700" w:rsidP="00C2130E">
      <w:pPr>
        <w:spacing w:after="0" w:line="240" w:lineRule="auto"/>
        <w:rPr>
          <w:rFonts w:ascii="Calibri" w:eastAsia="Times New Roman" w:hAnsi="Calibri" w:cs="Times New Roman"/>
          <w:noProof/>
          <w:sz w:val="20"/>
          <w:szCs w:val="20"/>
          <w:lang w:eastAsia="el-GR"/>
        </w:rPr>
      </w:pPr>
    </w:p>
    <w:p w:rsidR="00540700" w:rsidRDefault="00540700" w:rsidP="00C2130E">
      <w:pPr>
        <w:spacing w:after="0" w:line="240" w:lineRule="auto"/>
        <w:rPr>
          <w:rFonts w:ascii="Calibri" w:eastAsia="Times New Roman" w:hAnsi="Calibri" w:cs="Times New Roman"/>
          <w:noProof/>
          <w:sz w:val="20"/>
          <w:szCs w:val="20"/>
          <w:lang w:eastAsia="el-GR"/>
        </w:rPr>
      </w:pPr>
    </w:p>
    <w:p w:rsidR="00540700" w:rsidRDefault="00540700" w:rsidP="00C2130E">
      <w:pPr>
        <w:spacing w:after="0" w:line="240" w:lineRule="auto"/>
        <w:rPr>
          <w:rFonts w:ascii="Calibri" w:eastAsia="Times New Roman" w:hAnsi="Calibri" w:cs="Times New Roman"/>
          <w:noProof/>
          <w:sz w:val="20"/>
          <w:szCs w:val="20"/>
          <w:lang w:eastAsia="el-GR"/>
        </w:rPr>
      </w:pPr>
    </w:p>
    <w:p w:rsidR="00540700" w:rsidRDefault="00540700" w:rsidP="00C2130E">
      <w:pPr>
        <w:spacing w:after="0" w:line="240" w:lineRule="auto"/>
        <w:rPr>
          <w:rFonts w:ascii="Calibri" w:eastAsia="Times New Roman" w:hAnsi="Calibri" w:cs="Times New Roman"/>
          <w:noProof/>
          <w:sz w:val="20"/>
          <w:szCs w:val="20"/>
          <w:lang w:eastAsia="el-GR"/>
        </w:rPr>
      </w:pPr>
    </w:p>
    <w:p w:rsidR="00227378" w:rsidRPr="00540700" w:rsidRDefault="00227378" w:rsidP="00540700">
      <w:pPr>
        <w:spacing w:line="240" w:lineRule="auto"/>
        <w:ind w:left="1080" w:firstLine="360"/>
        <w:contextualSpacing/>
        <w:rPr>
          <w:rFonts w:ascii="Times New Roman" w:eastAsia="Times New Roman" w:hAnsi="Times New Roman" w:cs="Times New Roman"/>
          <w:b/>
          <w:lang w:eastAsia="el-GR"/>
        </w:rPr>
      </w:pPr>
      <w:r w:rsidRPr="00540700">
        <w:rPr>
          <w:rFonts w:ascii="Calibri" w:eastAsia="Times New Roman" w:hAnsi="Calibri" w:cs="Times New Roman"/>
          <w:b/>
          <w:lang w:eastAsia="el-GR"/>
        </w:rPr>
        <w:lastRenderedPageBreak/>
        <w:t xml:space="preserve">Γράφημα </w:t>
      </w:r>
      <w:r w:rsidR="00D23808" w:rsidRPr="00540700">
        <w:rPr>
          <w:rFonts w:ascii="Calibri" w:eastAsia="Times New Roman" w:hAnsi="Calibri" w:cs="Times New Roman"/>
          <w:b/>
          <w:lang w:eastAsia="el-GR"/>
        </w:rPr>
        <w:t>19</w:t>
      </w:r>
      <w:r w:rsidRPr="00540700">
        <w:rPr>
          <w:rFonts w:ascii="Calibri" w:eastAsia="Times New Roman" w:hAnsi="Calibri" w:cs="Times New Roman"/>
          <w:b/>
          <w:lang w:eastAsia="el-GR"/>
        </w:rPr>
        <w:tab/>
      </w:r>
      <w:r w:rsidRPr="00540700">
        <w:rPr>
          <w:rFonts w:ascii="Calibri" w:eastAsia="Times New Roman" w:hAnsi="Calibri" w:cs="Times New Roman"/>
          <w:b/>
          <w:lang w:eastAsia="el-GR"/>
        </w:rPr>
        <w:tab/>
      </w:r>
      <w:r w:rsidRPr="00540700">
        <w:rPr>
          <w:rFonts w:ascii="Calibri" w:eastAsia="Times New Roman" w:hAnsi="Calibri" w:cs="Times New Roman"/>
          <w:b/>
          <w:lang w:eastAsia="el-GR"/>
        </w:rPr>
        <w:tab/>
      </w:r>
      <w:r w:rsidRPr="00540700">
        <w:rPr>
          <w:rFonts w:ascii="Calibri" w:eastAsia="Times New Roman" w:hAnsi="Calibri" w:cs="Times New Roman"/>
          <w:b/>
          <w:lang w:eastAsia="el-GR"/>
        </w:rPr>
        <w:tab/>
      </w:r>
      <w:r w:rsidRPr="00540700">
        <w:rPr>
          <w:rFonts w:ascii="Calibri" w:eastAsia="Times New Roman" w:hAnsi="Calibri" w:cs="Times New Roman"/>
          <w:b/>
          <w:lang w:eastAsia="el-GR"/>
        </w:rPr>
        <w:tab/>
      </w:r>
      <w:r w:rsidRPr="00540700">
        <w:rPr>
          <w:rFonts w:ascii="Calibri" w:eastAsia="Times New Roman" w:hAnsi="Calibri" w:cs="Times New Roman"/>
          <w:b/>
          <w:lang w:eastAsia="el-GR"/>
        </w:rPr>
        <w:tab/>
        <w:t xml:space="preserve">Γράφημα </w:t>
      </w:r>
      <w:r w:rsidR="00D23808" w:rsidRPr="00540700">
        <w:rPr>
          <w:rFonts w:ascii="Calibri" w:eastAsia="Times New Roman" w:hAnsi="Calibri" w:cs="Times New Roman"/>
          <w:b/>
          <w:lang w:eastAsia="el-GR"/>
        </w:rPr>
        <w:t>20</w:t>
      </w:r>
    </w:p>
    <w:tbl>
      <w:tblPr>
        <w:tblStyle w:val="ab"/>
        <w:tblW w:w="0" w:type="auto"/>
        <w:tblInd w:w="534" w:type="dxa"/>
        <w:tblLook w:val="04A0" w:firstRow="1" w:lastRow="0" w:firstColumn="1" w:lastColumn="0" w:noHBand="0" w:noVBand="1"/>
      </w:tblPr>
      <w:tblGrid>
        <w:gridCol w:w="4677"/>
        <w:gridCol w:w="4820"/>
      </w:tblGrid>
      <w:tr w:rsidR="00227378" w:rsidRPr="005941FC" w:rsidTr="00DB77D0">
        <w:tc>
          <w:tcPr>
            <w:tcW w:w="4677" w:type="dxa"/>
          </w:tcPr>
          <w:p w:rsidR="00227378" w:rsidRPr="005941FC" w:rsidRDefault="00227378" w:rsidP="00740D23">
            <w:pPr>
              <w:jc w:val="center"/>
              <w:rPr>
                <w:rFonts w:ascii="Calibri" w:hAnsi="Calibri"/>
                <w:b/>
                <w:sz w:val="16"/>
                <w:szCs w:val="16"/>
              </w:rPr>
            </w:pPr>
            <w:r w:rsidRPr="005941FC">
              <w:rPr>
                <w:rFonts w:ascii="Calibri" w:hAnsi="Calibri"/>
                <w:b/>
                <w:sz w:val="16"/>
                <w:szCs w:val="16"/>
              </w:rPr>
              <w:t>Απασχολείτε προσωπικό με μερική απασχόληση;</w:t>
            </w:r>
          </w:p>
          <w:p w:rsidR="00227378" w:rsidRPr="005941FC" w:rsidRDefault="00227378" w:rsidP="00740D23">
            <w:pPr>
              <w:jc w:val="center"/>
              <w:rPr>
                <w:rFonts w:ascii="Calibri" w:hAnsi="Calibri"/>
                <w:sz w:val="16"/>
                <w:szCs w:val="16"/>
              </w:rPr>
            </w:pPr>
            <w:r w:rsidRPr="005941FC">
              <w:rPr>
                <w:rFonts w:ascii="Calibri" w:hAnsi="Calibri"/>
                <w:i/>
                <w:iCs/>
                <w:sz w:val="16"/>
                <w:szCs w:val="16"/>
              </w:rPr>
              <w:t>-Βάση: Όσοι απασχολούν αμειβόμενο προσωπικό -</w:t>
            </w:r>
          </w:p>
          <w:p w:rsidR="00227378" w:rsidRPr="001F5CBF" w:rsidRDefault="00227378" w:rsidP="001F5CBF">
            <w:pPr>
              <w:jc w:val="center"/>
              <w:rPr>
                <w:b/>
                <w:sz w:val="18"/>
                <w:szCs w:val="18"/>
              </w:rPr>
            </w:pPr>
            <w:r w:rsidRPr="005941FC">
              <w:rPr>
                <w:rFonts w:ascii="Calibri" w:hAnsi="Calibri"/>
                <w:b/>
                <w:sz w:val="16"/>
                <w:szCs w:val="16"/>
              </w:rPr>
              <w:t>ΙΟΥΛΙΟΣ 201</w:t>
            </w:r>
            <w:r w:rsidR="001F5CBF">
              <w:rPr>
                <w:rFonts w:ascii="Calibri" w:hAnsi="Calibri"/>
                <w:b/>
                <w:sz w:val="16"/>
                <w:szCs w:val="16"/>
              </w:rPr>
              <w:t>9</w:t>
            </w:r>
          </w:p>
        </w:tc>
        <w:tc>
          <w:tcPr>
            <w:tcW w:w="4820" w:type="dxa"/>
          </w:tcPr>
          <w:p w:rsidR="00227378" w:rsidRPr="005941FC" w:rsidRDefault="00227378" w:rsidP="00740D23">
            <w:pPr>
              <w:ind w:right="-108"/>
              <w:jc w:val="center"/>
              <w:rPr>
                <w:rFonts w:ascii="Calibri" w:hAnsi="Calibri"/>
                <w:b/>
                <w:sz w:val="16"/>
                <w:szCs w:val="16"/>
              </w:rPr>
            </w:pPr>
            <w:r w:rsidRPr="005941FC">
              <w:rPr>
                <w:rFonts w:ascii="Calibri" w:hAnsi="Calibri"/>
                <w:b/>
                <w:sz w:val="16"/>
                <w:szCs w:val="16"/>
              </w:rPr>
              <w:t>Αν αυξήσετε το προσωπικό σας η σχέση εργασίας:</w:t>
            </w:r>
          </w:p>
          <w:p w:rsidR="00227378" w:rsidRPr="005941FC" w:rsidRDefault="00227378" w:rsidP="00740D23">
            <w:pPr>
              <w:ind w:right="-108"/>
              <w:jc w:val="center"/>
            </w:pPr>
            <w:r w:rsidRPr="005941FC">
              <w:rPr>
                <w:rFonts w:ascii="Calibri" w:hAnsi="Calibri"/>
                <w:sz w:val="16"/>
                <w:szCs w:val="16"/>
              </w:rPr>
              <w:t>-Βάση: όσοι απάντησαν ότι θα αυξηθεί-</w:t>
            </w:r>
          </w:p>
        </w:tc>
      </w:tr>
    </w:tbl>
    <w:p w:rsidR="00227378" w:rsidRPr="005941FC" w:rsidRDefault="00227378" w:rsidP="00227378">
      <w:pPr>
        <w:spacing w:after="0" w:line="240" w:lineRule="auto"/>
        <w:ind w:left="360" w:right="157"/>
        <w:jc w:val="both"/>
        <w:rPr>
          <w:rFonts w:ascii="Calibri" w:eastAsia="Times New Roman" w:hAnsi="Calibri" w:cs="Times New Roman"/>
          <w:b/>
          <w:sz w:val="20"/>
          <w:szCs w:val="20"/>
          <w:u w:val="single"/>
          <w:lang w:eastAsia="el-GR"/>
        </w:rPr>
      </w:pPr>
      <w:r w:rsidRPr="005941FC">
        <w:rPr>
          <w:rFonts w:ascii="Times New Roman" w:eastAsia="Times New Roman" w:hAnsi="Times New Roman" w:cs="Times New Roman"/>
          <w:noProof/>
          <w:sz w:val="24"/>
          <w:szCs w:val="24"/>
          <w:lang w:eastAsia="el-GR"/>
        </w:rPr>
        <w:drawing>
          <wp:inline distT="0" distB="0" distL="0" distR="0" wp14:anchorId="42CD446C" wp14:editId="57C6C17E">
            <wp:extent cx="3032760" cy="2057400"/>
            <wp:effectExtent l="0" t="0" r="15240" b="19050"/>
            <wp:docPr id="52" name="Γράφημα 2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sidRPr="005941FC">
        <w:rPr>
          <w:rFonts w:ascii="Times New Roman" w:eastAsia="Times New Roman" w:hAnsi="Times New Roman" w:cs="Times New Roman"/>
          <w:noProof/>
          <w:sz w:val="24"/>
          <w:szCs w:val="24"/>
          <w:lang w:eastAsia="el-GR"/>
        </w:rPr>
        <w:drawing>
          <wp:inline distT="0" distB="0" distL="0" distR="0" wp14:anchorId="7EF9EBF1" wp14:editId="54DD6F57">
            <wp:extent cx="2981325" cy="2066925"/>
            <wp:effectExtent l="0" t="0" r="9525" b="9525"/>
            <wp:docPr id="53" name="Γράφημα 2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2C7FEA" w:rsidRDefault="002C7FEA" w:rsidP="00C2130E">
      <w:pPr>
        <w:spacing w:after="0" w:line="240" w:lineRule="auto"/>
        <w:rPr>
          <w:rFonts w:ascii="Calibri" w:eastAsia="Times New Roman" w:hAnsi="Calibri" w:cs="Times New Roman"/>
          <w:noProof/>
          <w:sz w:val="20"/>
          <w:szCs w:val="20"/>
          <w:lang w:val="en-US" w:eastAsia="el-GR"/>
        </w:rPr>
      </w:pPr>
    </w:p>
    <w:p w:rsidR="002C7FEA" w:rsidRDefault="002C7FEA" w:rsidP="00C2130E">
      <w:pPr>
        <w:spacing w:after="0" w:line="240" w:lineRule="auto"/>
        <w:rPr>
          <w:rFonts w:ascii="Calibri" w:eastAsia="Times New Roman" w:hAnsi="Calibri" w:cs="Times New Roman"/>
          <w:noProof/>
          <w:sz w:val="20"/>
          <w:szCs w:val="20"/>
          <w:lang w:val="en-US" w:eastAsia="el-GR"/>
        </w:rPr>
      </w:pPr>
    </w:p>
    <w:p w:rsidR="002C7FEA" w:rsidRDefault="002C7FEA" w:rsidP="00C2130E">
      <w:pPr>
        <w:spacing w:after="0" w:line="240" w:lineRule="auto"/>
        <w:rPr>
          <w:rFonts w:ascii="Calibri" w:eastAsia="Times New Roman" w:hAnsi="Calibri" w:cs="Times New Roman"/>
          <w:noProof/>
          <w:sz w:val="20"/>
          <w:szCs w:val="20"/>
          <w:lang w:val="en-US" w:eastAsia="el-GR"/>
        </w:rPr>
      </w:pPr>
    </w:p>
    <w:p w:rsidR="002C7FEA" w:rsidRPr="00540700" w:rsidRDefault="002C7FEA" w:rsidP="00540700">
      <w:pPr>
        <w:pStyle w:val="a5"/>
        <w:numPr>
          <w:ilvl w:val="0"/>
          <w:numId w:val="20"/>
        </w:numPr>
        <w:spacing w:after="0" w:line="360" w:lineRule="auto"/>
        <w:jc w:val="both"/>
        <w:rPr>
          <w:rFonts w:ascii="Times New Roman" w:eastAsia="Times New Roman" w:hAnsi="Times New Roman" w:cs="Times New Roman"/>
          <w:sz w:val="24"/>
          <w:szCs w:val="24"/>
          <w:lang w:eastAsia="el-GR"/>
        </w:rPr>
      </w:pPr>
      <w:r w:rsidRPr="00540700">
        <w:rPr>
          <w:rFonts w:ascii="Times New Roman" w:eastAsia="Times New Roman" w:hAnsi="Times New Roman" w:cs="Times New Roman"/>
          <w:b/>
          <w:sz w:val="24"/>
          <w:szCs w:val="24"/>
          <w:u w:val="single"/>
          <w:lang w:eastAsia="el-GR"/>
        </w:rPr>
        <w:t>ΥΠΟΧΡΕΩΣΕΙΣ ΚΑΙ ΟΦΕΙΛΕΣ ΕΠΙΧΕΙΡΗΣΕΩΝ</w:t>
      </w:r>
    </w:p>
    <w:p w:rsidR="002C7FEA" w:rsidRPr="00540700" w:rsidRDefault="002C7FEA" w:rsidP="00540700">
      <w:pPr>
        <w:spacing w:after="0" w:line="360" w:lineRule="auto"/>
        <w:jc w:val="both"/>
        <w:rPr>
          <w:rFonts w:ascii="Times New Roman" w:eastAsia="Times New Roman" w:hAnsi="Times New Roman" w:cs="Times New Roman"/>
          <w:color w:val="FF0000"/>
          <w:sz w:val="24"/>
          <w:szCs w:val="24"/>
          <w:highlight w:val="yellow"/>
          <w:lang w:eastAsia="el-GR"/>
        </w:rPr>
      </w:pPr>
    </w:p>
    <w:p w:rsidR="00982361" w:rsidRPr="00540700" w:rsidRDefault="002C7FEA" w:rsidP="00540700">
      <w:pPr>
        <w:spacing w:after="0" w:line="360" w:lineRule="auto"/>
        <w:jc w:val="both"/>
        <w:rPr>
          <w:rFonts w:ascii="Times New Roman" w:eastAsia="Times New Roman" w:hAnsi="Times New Roman" w:cs="Times New Roman"/>
          <w:sz w:val="24"/>
          <w:szCs w:val="24"/>
          <w:lang w:eastAsia="el-GR"/>
        </w:rPr>
      </w:pPr>
      <w:r w:rsidRPr="00540700">
        <w:rPr>
          <w:rFonts w:ascii="Times New Roman" w:eastAsia="Times New Roman" w:hAnsi="Times New Roman" w:cs="Times New Roman"/>
          <w:sz w:val="24"/>
          <w:szCs w:val="24"/>
          <w:lang w:eastAsia="el-GR"/>
        </w:rPr>
        <w:t xml:space="preserve">Υψηλό παραμένει το ποσοστό των επιχείρησεων (35,2%) που έχει </w:t>
      </w:r>
      <w:proofErr w:type="spellStart"/>
      <w:r w:rsidRPr="00540700">
        <w:rPr>
          <w:rFonts w:ascii="Times New Roman" w:eastAsia="Times New Roman" w:hAnsi="Times New Roman" w:cs="Times New Roman"/>
          <w:sz w:val="24"/>
          <w:szCs w:val="24"/>
          <w:lang w:eastAsia="el-GR"/>
        </w:rPr>
        <w:t>κα</w:t>
      </w:r>
      <w:r w:rsidR="00C509D1">
        <w:rPr>
          <w:rFonts w:ascii="Times New Roman" w:eastAsia="Times New Roman" w:hAnsi="Times New Roman" w:cs="Times New Roman"/>
          <w:sz w:val="24"/>
          <w:szCs w:val="24"/>
          <w:lang w:eastAsia="el-GR"/>
        </w:rPr>
        <w:t>ποιου</w:t>
      </w:r>
      <w:proofErr w:type="spellEnd"/>
      <w:r w:rsidR="00C509D1">
        <w:rPr>
          <w:rFonts w:ascii="Times New Roman" w:eastAsia="Times New Roman" w:hAnsi="Times New Roman" w:cs="Times New Roman"/>
          <w:sz w:val="24"/>
          <w:szCs w:val="24"/>
          <w:lang w:eastAsia="el-GR"/>
        </w:rPr>
        <w:t xml:space="preserve"> είδους ληξιπρόθεσμη οφειλή</w:t>
      </w:r>
      <w:r w:rsidRPr="00540700">
        <w:rPr>
          <w:rFonts w:ascii="Times New Roman" w:eastAsia="Times New Roman" w:hAnsi="Times New Roman" w:cs="Times New Roman"/>
          <w:sz w:val="24"/>
          <w:szCs w:val="24"/>
          <w:lang w:eastAsia="el-GR"/>
        </w:rPr>
        <w:t xml:space="preserve"> προς</w:t>
      </w:r>
      <w:r w:rsidR="00982361" w:rsidRPr="00540700">
        <w:rPr>
          <w:rFonts w:ascii="Times New Roman" w:eastAsia="Times New Roman" w:hAnsi="Times New Roman" w:cs="Times New Roman"/>
          <w:sz w:val="24"/>
          <w:szCs w:val="24"/>
          <w:lang w:eastAsia="el-GR"/>
        </w:rPr>
        <w:t xml:space="preserve"> το Δημόσιο και τις τράπεζες.  </w:t>
      </w:r>
      <w:r w:rsidRPr="00540700">
        <w:rPr>
          <w:rFonts w:ascii="Times New Roman" w:eastAsia="Times New Roman" w:hAnsi="Times New Roman" w:cs="Times New Roman"/>
          <w:sz w:val="24"/>
          <w:szCs w:val="24"/>
          <w:lang w:eastAsia="el-GR"/>
        </w:rPr>
        <w:t xml:space="preserve">Σταθερά υψηλότερο είναι το ποσοστό των επιχειρήσεων με καθυστερημένες οφειλές προς το πρώην ασφαλιστικό ταμείο των επαγγελματιών (22,1%). Το 21% των ερωτηθέντων έχει καθυστερημένες οφειλές προς την εφορία (21%), </w:t>
      </w:r>
      <w:r w:rsidR="00982361" w:rsidRPr="00540700">
        <w:rPr>
          <w:rFonts w:ascii="Times New Roman" w:eastAsia="Times New Roman" w:hAnsi="Times New Roman" w:cs="Times New Roman"/>
          <w:sz w:val="24"/>
          <w:szCs w:val="24"/>
          <w:lang w:eastAsia="el-GR"/>
        </w:rPr>
        <w:t xml:space="preserve">και </w:t>
      </w:r>
      <w:r w:rsidRPr="00540700">
        <w:rPr>
          <w:rFonts w:ascii="Times New Roman" w:eastAsia="Times New Roman" w:hAnsi="Times New Roman" w:cs="Times New Roman"/>
          <w:sz w:val="24"/>
          <w:szCs w:val="24"/>
          <w:lang w:eastAsia="el-GR"/>
        </w:rPr>
        <w:t>το 11,4% προς το πρώην ΙΚΑ</w:t>
      </w:r>
      <w:r w:rsidR="00982361" w:rsidRPr="00540700">
        <w:rPr>
          <w:rFonts w:ascii="Times New Roman" w:eastAsia="Times New Roman" w:hAnsi="Times New Roman" w:cs="Times New Roman"/>
          <w:sz w:val="24"/>
          <w:szCs w:val="24"/>
          <w:lang w:eastAsia="el-GR"/>
        </w:rPr>
        <w:t xml:space="preserve"> (Γράφημα 21)</w:t>
      </w:r>
      <w:r w:rsidRPr="00540700">
        <w:rPr>
          <w:rFonts w:ascii="Times New Roman" w:eastAsia="Times New Roman" w:hAnsi="Times New Roman" w:cs="Times New Roman"/>
          <w:sz w:val="24"/>
          <w:szCs w:val="24"/>
          <w:lang w:eastAsia="el-GR"/>
        </w:rPr>
        <w:t xml:space="preserve">. </w:t>
      </w:r>
    </w:p>
    <w:p w:rsidR="00982361" w:rsidRDefault="00982361" w:rsidP="002C7FEA">
      <w:pPr>
        <w:spacing w:after="0" w:line="240" w:lineRule="auto"/>
        <w:jc w:val="both"/>
        <w:rPr>
          <w:rFonts w:ascii="Arial Narrow" w:eastAsia="Times New Roman" w:hAnsi="Arial Narrow" w:cs="Times New Roman"/>
          <w:sz w:val="24"/>
          <w:szCs w:val="24"/>
          <w:lang w:eastAsia="el-GR"/>
        </w:rPr>
      </w:pPr>
    </w:p>
    <w:p w:rsidR="00982361" w:rsidRDefault="002E2AD8" w:rsidP="002C7FEA">
      <w:pPr>
        <w:spacing w:after="0" w:line="240" w:lineRule="auto"/>
        <w:jc w:val="both"/>
        <w:rPr>
          <w:rFonts w:ascii="Arial Narrow" w:eastAsia="Times New Roman" w:hAnsi="Arial Narrow" w:cs="Times New Roman"/>
          <w:sz w:val="24"/>
          <w:szCs w:val="24"/>
          <w:lang w:eastAsia="el-GR"/>
        </w:rPr>
      </w:pPr>
      <w:r>
        <w:rPr>
          <w:noProof/>
          <w:lang w:eastAsia="el-GR"/>
        </w:rPr>
        <w:drawing>
          <wp:inline distT="0" distB="0" distL="0" distR="0" wp14:anchorId="19C003A5" wp14:editId="505B51E3">
            <wp:extent cx="6524625" cy="2981325"/>
            <wp:effectExtent l="0" t="0" r="9525" b="9525"/>
            <wp:docPr id="45" name="Char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982361" w:rsidRDefault="00982361" w:rsidP="002C7FEA">
      <w:pPr>
        <w:spacing w:after="0" w:line="240" w:lineRule="auto"/>
        <w:jc w:val="both"/>
        <w:rPr>
          <w:rFonts w:ascii="Arial Narrow" w:eastAsia="Times New Roman" w:hAnsi="Arial Narrow" w:cs="Times New Roman"/>
          <w:sz w:val="24"/>
          <w:szCs w:val="24"/>
          <w:lang w:eastAsia="el-GR"/>
        </w:rPr>
      </w:pPr>
    </w:p>
    <w:p w:rsidR="00982361" w:rsidRDefault="00982361" w:rsidP="002C7FEA">
      <w:pPr>
        <w:spacing w:after="0" w:line="240" w:lineRule="auto"/>
        <w:jc w:val="both"/>
        <w:rPr>
          <w:rFonts w:ascii="Arial Narrow" w:eastAsia="Times New Roman" w:hAnsi="Arial Narrow" w:cs="Times New Roman"/>
          <w:sz w:val="24"/>
          <w:szCs w:val="24"/>
          <w:lang w:eastAsia="el-GR"/>
        </w:rPr>
      </w:pPr>
    </w:p>
    <w:p w:rsidR="002C7FEA" w:rsidRPr="00540700" w:rsidRDefault="002C7FEA" w:rsidP="00540700">
      <w:pPr>
        <w:spacing w:after="0" w:line="360" w:lineRule="auto"/>
        <w:jc w:val="both"/>
        <w:rPr>
          <w:rFonts w:ascii="Times New Roman" w:eastAsia="Times New Roman" w:hAnsi="Times New Roman" w:cs="Times New Roman"/>
          <w:sz w:val="24"/>
          <w:szCs w:val="24"/>
          <w:lang w:eastAsia="el-GR"/>
        </w:rPr>
      </w:pPr>
      <w:r w:rsidRPr="00540700">
        <w:rPr>
          <w:rFonts w:ascii="Times New Roman" w:eastAsia="Times New Roman" w:hAnsi="Times New Roman" w:cs="Times New Roman"/>
          <w:sz w:val="24"/>
          <w:szCs w:val="24"/>
          <w:lang w:eastAsia="el-GR"/>
        </w:rPr>
        <w:lastRenderedPageBreak/>
        <w:t>Το 33,</w:t>
      </w:r>
      <w:r w:rsidR="00540700" w:rsidRPr="00540700">
        <w:rPr>
          <w:rFonts w:ascii="Times New Roman" w:eastAsia="Times New Roman" w:hAnsi="Times New Roman" w:cs="Times New Roman"/>
          <w:sz w:val="24"/>
          <w:szCs w:val="24"/>
          <w:lang w:eastAsia="el-GR"/>
        </w:rPr>
        <w:t>1% των επιχείρησεων που έχουν κάποιου είδους ληξιπρόθεσμη οφειλή</w:t>
      </w:r>
      <w:r w:rsidR="00C509D1">
        <w:rPr>
          <w:rFonts w:ascii="Times New Roman" w:eastAsia="Times New Roman" w:hAnsi="Times New Roman" w:cs="Times New Roman"/>
          <w:sz w:val="24"/>
          <w:szCs w:val="24"/>
          <w:lang w:eastAsia="el-GR"/>
        </w:rPr>
        <w:t xml:space="preserve"> προς το Δημόσιο δήλω</w:t>
      </w:r>
      <w:r w:rsidRPr="00540700">
        <w:rPr>
          <w:rFonts w:ascii="Times New Roman" w:eastAsia="Times New Roman" w:hAnsi="Times New Roman" w:cs="Times New Roman"/>
          <w:sz w:val="24"/>
          <w:szCs w:val="24"/>
          <w:lang w:eastAsia="el-GR"/>
        </w:rPr>
        <w:t xml:space="preserve">σε πως έχει ενταχθεί </w:t>
      </w:r>
      <w:r w:rsidR="00C509D1">
        <w:rPr>
          <w:rFonts w:ascii="Times New Roman" w:eastAsia="Times New Roman" w:hAnsi="Times New Roman" w:cs="Times New Roman"/>
          <w:sz w:val="24"/>
          <w:szCs w:val="24"/>
          <w:lang w:eastAsia="el-GR"/>
        </w:rPr>
        <w:t>στις νέ</w:t>
      </w:r>
      <w:r w:rsidR="00540700" w:rsidRPr="00540700">
        <w:rPr>
          <w:rFonts w:ascii="Times New Roman" w:eastAsia="Times New Roman" w:hAnsi="Times New Roman" w:cs="Times New Roman"/>
          <w:sz w:val="24"/>
          <w:szCs w:val="24"/>
          <w:lang w:eastAsia="el-GR"/>
        </w:rPr>
        <w:t>ες ρυθμίσεις, το 27,9% δήλωσε πως έχει υπαχθεί σε άλλη ρύ</w:t>
      </w:r>
      <w:r w:rsidR="00C509D1">
        <w:rPr>
          <w:rFonts w:ascii="Times New Roman" w:eastAsia="Times New Roman" w:hAnsi="Times New Roman" w:cs="Times New Roman"/>
          <w:sz w:val="24"/>
          <w:szCs w:val="24"/>
          <w:lang w:eastAsia="el-GR"/>
        </w:rPr>
        <w:t>θμιση (πά</w:t>
      </w:r>
      <w:r w:rsidRPr="00540700">
        <w:rPr>
          <w:rFonts w:ascii="Times New Roman" w:eastAsia="Times New Roman" w:hAnsi="Times New Roman" w:cs="Times New Roman"/>
          <w:sz w:val="24"/>
          <w:szCs w:val="24"/>
          <w:lang w:eastAsia="el-GR"/>
        </w:rPr>
        <w:t>για</w:t>
      </w:r>
      <w:r w:rsidR="00540700" w:rsidRPr="00540700">
        <w:rPr>
          <w:rFonts w:ascii="Times New Roman" w:eastAsia="Times New Roman" w:hAnsi="Times New Roman" w:cs="Times New Roman"/>
          <w:sz w:val="24"/>
          <w:szCs w:val="24"/>
          <w:lang w:eastAsia="el-GR"/>
        </w:rPr>
        <w:t>), ενώ το 35,3% δήλωσε πως δεν έ</w:t>
      </w:r>
      <w:r w:rsidRPr="00540700">
        <w:rPr>
          <w:rFonts w:ascii="Times New Roman" w:eastAsia="Times New Roman" w:hAnsi="Times New Roman" w:cs="Times New Roman"/>
          <w:sz w:val="24"/>
          <w:szCs w:val="24"/>
          <w:lang w:eastAsia="el-GR"/>
        </w:rPr>
        <w:t xml:space="preserve">χει ρυθμίσει ακόμα τις οφειλές </w:t>
      </w:r>
      <w:r w:rsidR="002E2AD8" w:rsidRPr="00540700">
        <w:rPr>
          <w:rFonts w:ascii="Times New Roman" w:eastAsia="Times New Roman" w:hAnsi="Times New Roman" w:cs="Times New Roman"/>
          <w:sz w:val="24"/>
          <w:szCs w:val="24"/>
          <w:lang w:eastAsia="el-GR"/>
        </w:rPr>
        <w:t>τους (Γράφημα 22)</w:t>
      </w:r>
      <w:r w:rsidRPr="00540700">
        <w:rPr>
          <w:rFonts w:ascii="Times New Roman" w:eastAsia="Times New Roman" w:hAnsi="Times New Roman" w:cs="Times New Roman"/>
          <w:sz w:val="24"/>
          <w:szCs w:val="24"/>
          <w:lang w:eastAsia="el-GR"/>
        </w:rPr>
        <w:t xml:space="preserve">. </w:t>
      </w:r>
    </w:p>
    <w:p w:rsidR="002E2AD8" w:rsidRPr="00540700" w:rsidRDefault="002E2AD8" w:rsidP="00540700">
      <w:pPr>
        <w:spacing w:after="0" w:line="360" w:lineRule="auto"/>
        <w:jc w:val="both"/>
        <w:rPr>
          <w:rFonts w:ascii="Times New Roman" w:eastAsia="Times New Roman" w:hAnsi="Times New Roman" w:cs="Times New Roman"/>
          <w:sz w:val="24"/>
          <w:szCs w:val="24"/>
          <w:lang w:eastAsia="el-GR"/>
        </w:rPr>
      </w:pPr>
    </w:p>
    <w:p w:rsidR="002E2AD8" w:rsidRPr="00540700" w:rsidRDefault="002E2AD8" w:rsidP="00540700">
      <w:pPr>
        <w:spacing w:after="0" w:line="360" w:lineRule="auto"/>
        <w:jc w:val="both"/>
        <w:rPr>
          <w:rFonts w:ascii="Times New Roman" w:eastAsia="Times New Roman" w:hAnsi="Times New Roman" w:cs="Times New Roman"/>
          <w:b/>
          <w:sz w:val="24"/>
          <w:szCs w:val="24"/>
          <w:lang w:eastAsia="el-GR"/>
        </w:rPr>
      </w:pPr>
      <w:r w:rsidRPr="00540700">
        <w:rPr>
          <w:rFonts w:ascii="Times New Roman" w:eastAsia="Times New Roman" w:hAnsi="Times New Roman" w:cs="Times New Roman"/>
          <w:b/>
          <w:sz w:val="24"/>
          <w:szCs w:val="24"/>
          <w:lang w:eastAsia="el-GR"/>
        </w:rPr>
        <w:t>Γράφημα 22: Έχετε ρυθμίσει τις οφειλές σας (φορολογικές, ασφαλιστικές);</w:t>
      </w:r>
    </w:p>
    <w:p w:rsidR="002E2AD8" w:rsidRDefault="002E2AD8" w:rsidP="002C7FEA">
      <w:pPr>
        <w:spacing w:after="0" w:line="240" w:lineRule="auto"/>
        <w:jc w:val="both"/>
        <w:rPr>
          <w:rFonts w:ascii="Arial Narrow" w:eastAsia="Times New Roman" w:hAnsi="Arial Narrow" w:cs="Times New Roman"/>
          <w:sz w:val="24"/>
          <w:szCs w:val="24"/>
          <w:lang w:eastAsia="el-GR"/>
        </w:rPr>
      </w:pPr>
    </w:p>
    <w:p w:rsidR="002E2AD8" w:rsidRPr="002C7FEA" w:rsidRDefault="002E2AD8" w:rsidP="002C7FEA">
      <w:pPr>
        <w:spacing w:after="0" w:line="240" w:lineRule="auto"/>
        <w:jc w:val="both"/>
        <w:rPr>
          <w:rFonts w:ascii="Arial Narrow" w:eastAsia="Times New Roman" w:hAnsi="Arial Narrow" w:cs="Times New Roman"/>
          <w:sz w:val="24"/>
          <w:szCs w:val="24"/>
          <w:lang w:eastAsia="el-GR"/>
        </w:rPr>
      </w:pPr>
      <w:r w:rsidRPr="002E2AD8">
        <w:rPr>
          <w:rFonts w:ascii="Arial Narrow" w:eastAsia="Times New Roman" w:hAnsi="Arial Narrow" w:cs="Times New Roman"/>
          <w:noProof/>
          <w:sz w:val="24"/>
          <w:szCs w:val="24"/>
          <w:lang w:eastAsia="el-GR"/>
        </w:rPr>
        <w:drawing>
          <wp:inline distT="0" distB="0" distL="0" distR="0" wp14:anchorId="71A647DE" wp14:editId="131FF9AD">
            <wp:extent cx="6315075" cy="2495550"/>
            <wp:effectExtent l="0" t="0" r="9525" b="19050"/>
            <wp:docPr id="55" name="Chart 5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CD2B5132-1EA9-4FAD-879F-3794F2E05B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99561F" w:rsidRPr="00540700" w:rsidRDefault="0099561F" w:rsidP="00540700">
      <w:pPr>
        <w:spacing w:after="0" w:line="360" w:lineRule="auto"/>
        <w:jc w:val="both"/>
        <w:rPr>
          <w:rFonts w:ascii="Times New Roman" w:eastAsia="Times New Roman" w:hAnsi="Times New Roman" w:cs="Times New Roman"/>
          <w:sz w:val="24"/>
          <w:szCs w:val="24"/>
          <w:lang w:eastAsia="el-GR"/>
        </w:rPr>
      </w:pPr>
    </w:p>
    <w:p w:rsidR="00540700" w:rsidRPr="00540700" w:rsidRDefault="00540700" w:rsidP="00540700">
      <w:pPr>
        <w:spacing w:after="0" w:line="360" w:lineRule="auto"/>
        <w:jc w:val="both"/>
        <w:rPr>
          <w:rFonts w:ascii="Times New Roman" w:eastAsia="Times New Roman" w:hAnsi="Times New Roman" w:cs="Times New Roman"/>
          <w:sz w:val="24"/>
          <w:szCs w:val="24"/>
          <w:lang w:eastAsia="el-GR"/>
        </w:rPr>
      </w:pPr>
      <w:r w:rsidRPr="00540700">
        <w:rPr>
          <w:rFonts w:ascii="Times New Roman" w:eastAsia="Times New Roman" w:hAnsi="Times New Roman" w:cs="Times New Roman"/>
          <w:sz w:val="24"/>
          <w:szCs w:val="24"/>
          <w:lang w:eastAsia="el-GR"/>
        </w:rPr>
        <w:t>Γενικά τα ευρήματα της έρευνας και ως προς τις οφειλές των επιχειρήσεων παρουσιάζουν τα καλύτερα στοιχεία από τότε που ξεκίνησε το ΙΜΕ ΓΣΕΒΕΕ να μετρά συστηματικά τις οφειλές των επιχειρήσεων. Είναι προφανές πως οι πρόσφατες ασφαλιστικές και φορολογικές ρυθμίσεις που  θεσμοθετήθηκαν από την προηγούμενη κυβέρνηση και βελτιώθηκαν κυρίως ως προς τα φορολογικά από την υφιστάμενη έχουν σημαντική συμβολή στην βελτίωση που καταγράφεται.</w:t>
      </w:r>
    </w:p>
    <w:p w:rsidR="00540700" w:rsidRPr="00540700" w:rsidRDefault="00540700" w:rsidP="00540700">
      <w:pPr>
        <w:spacing w:after="0" w:line="360" w:lineRule="auto"/>
        <w:jc w:val="both"/>
        <w:rPr>
          <w:rFonts w:ascii="Times New Roman" w:eastAsia="Times New Roman" w:hAnsi="Times New Roman" w:cs="Times New Roman"/>
          <w:sz w:val="24"/>
          <w:szCs w:val="24"/>
          <w:lang w:eastAsia="el-GR"/>
        </w:rPr>
      </w:pPr>
      <w:r w:rsidRPr="00540700">
        <w:rPr>
          <w:rFonts w:ascii="Times New Roman" w:eastAsia="Times New Roman" w:hAnsi="Times New Roman" w:cs="Times New Roman"/>
          <w:sz w:val="24"/>
          <w:szCs w:val="24"/>
          <w:lang w:eastAsia="el-GR"/>
        </w:rPr>
        <w:t>Αυτό γίνεται περισσότερο εμφανές από τις προβλέψεις των επιχειρήσεων ως προς τις υποχρεώσεις τους. Συγκεκριμένα το 80,4% των ερωτηθέντων δηλώνουν πως θα μπορέσουν να ανταποκριθούν στις φορολογικές τους υποχρεώσεις , έναντι μόλις 12,5% που δηλώνουν πως δεν θα μπορέσουν (Γράφημα 23) . Αντίστοιχα είναι και τα ποσοστά των επιχειρήσεων σχετικά με την πρόβλεψη ανταπόκρισης στις ασφαλιστικές υποχρεώσεις (80,4% και 12,9% αντίστοιχα) (Γράφημα 24).</w:t>
      </w:r>
    </w:p>
    <w:p w:rsidR="00540700" w:rsidRPr="00540700" w:rsidRDefault="00540700" w:rsidP="00540700">
      <w:pPr>
        <w:spacing w:after="0" w:line="360" w:lineRule="auto"/>
        <w:jc w:val="both"/>
        <w:rPr>
          <w:rFonts w:ascii="Times New Roman" w:eastAsia="Times New Roman" w:hAnsi="Times New Roman" w:cs="Times New Roman"/>
          <w:sz w:val="24"/>
          <w:szCs w:val="24"/>
          <w:lang w:eastAsia="el-GR"/>
        </w:rPr>
      </w:pPr>
    </w:p>
    <w:p w:rsidR="0099561F" w:rsidRPr="005941FC" w:rsidRDefault="0099561F" w:rsidP="0099561F">
      <w:pPr>
        <w:spacing w:after="0" w:line="240" w:lineRule="auto"/>
        <w:jc w:val="both"/>
        <w:rPr>
          <w:rFonts w:ascii="Arial Narrow" w:eastAsia="Times New Roman" w:hAnsi="Arial Narrow" w:cs="Times New Roman"/>
          <w:sz w:val="24"/>
          <w:szCs w:val="24"/>
          <w:lang w:eastAsia="el-GR"/>
        </w:rPr>
      </w:pPr>
    </w:p>
    <w:p w:rsidR="0099561F" w:rsidRDefault="0099561F" w:rsidP="0099561F">
      <w:pPr>
        <w:spacing w:after="0" w:line="240" w:lineRule="auto"/>
        <w:jc w:val="both"/>
        <w:rPr>
          <w:rFonts w:ascii="Arial Narrow" w:eastAsia="Times New Roman" w:hAnsi="Arial Narrow" w:cs="Times New Roman"/>
          <w:color w:val="FF0000"/>
          <w:sz w:val="24"/>
          <w:szCs w:val="24"/>
          <w:highlight w:val="yellow"/>
          <w:lang w:eastAsia="el-GR"/>
        </w:rPr>
      </w:pPr>
    </w:p>
    <w:p w:rsidR="00E32517" w:rsidRDefault="00E32517" w:rsidP="0099561F">
      <w:pPr>
        <w:spacing w:after="0" w:line="240" w:lineRule="auto"/>
        <w:jc w:val="both"/>
        <w:rPr>
          <w:rFonts w:ascii="Arial Narrow" w:eastAsia="Times New Roman" w:hAnsi="Arial Narrow" w:cs="Times New Roman"/>
          <w:color w:val="FF0000"/>
          <w:sz w:val="24"/>
          <w:szCs w:val="24"/>
          <w:highlight w:val="yellow"/>
          <w:lang w:eastAsia="el-GR"/>
        </w:rPr>
      </w:pPr>
    </w:p>
    <w:p w:rsidR="00E32517" w:rsidRDefault="00E32517" w:rsidP="0099561F">
      <w:pPr>
        <w:spacing w:after="0" w:line="240" w:lineRule="auto"/>
        <w:jc w:val="both"/>
        <w:rPr>
          <w:rFonts w:ascii="Arial Narrow" w:eastAsia="Times New Roman" w:hAnsi="Arial Narrow" w:cs="Times New Roman"/>
          <w:color w:val="FF0000"/>
          <w:sz w:val="24"/>
          <w:szCs w:val="24"/>
          <w:highlight w:val="yellow"/>
          <w:lang w:eastAsia="el-GR"/>
        </w:rPr>
      </w:pPr>
    </w:p>
    <w:p w:rsidR="00E32517" w:rsidRDefault="00E32517" w:rsidP="0099561F">
      <w:pPr>
        <w:spacing w:after="0" w:line="240" w:lineRule="auto"/>
        <w:jc w:val="both"/>
        <w:rPr>
          <w:rFonts w:ascii="Arial Narrow" w:eastAsia="Times New Roman" w:hAnsi="Arial Narrow" w:cs="Times New Roman"/>
          <w:color w:val="FF0000"/>
          <w:sz w:val="24"/>
          <w:szCs w:val="24"/>
          <w:highlight w:val="yellow"/>
          <w:lang w:eastAsia="el-GR"/>
        </w:rPr>
      </w:pPr>
    </w:p>
    <w:p w:rsidR="00E32517" w:rsidRDefault="00E32517" w:rsidP="0099561F">
      <w:pPr>
        <w:spacing w:after="0" w:line="240" w:lineRule="auto"/>
        <w:jc w:val="both"/>
        <w:rPr>
          <w:rFonts w:ascii="Arial Narrow" w:eastAsia="Times New Roman" w:hAnsi="Arial Narrow" w:cs="Times New Roman"/>
          <w:color w:val="FF0000"/>
          <w:sz w:val="24"/>
          <w:szCs w:val="24"/>
          <w:highlight w:val="yellow"/>
          <w:lang w:eastAsia="el-GR"/>
        </w:rPr>
      </w:pPr>
    </w:p>
    <w:p w:rsidR="00E32517" w:rsidRDefault="00E32517" w:rsidP="0099561F">
      <w:pPr>
        <w:spacing w:after="0" w:line="240" w:lineRule="auto"/>
        <w:jc w:val="both"/>
        <w:rPr>
          <w:rFonts w:ascii="Arial Narrow" w:eastAsia="Times New Roman" w:hAnsi="Arial Narrow" w:cs="Times New Roman"/>
          <w:color w:val="FF0000"/>
          <w:sz w:val="24"/>
          <w:szCs w:val="24"/>
          <w:highlight w:val="yellow"/>
          <w:lang w:eastAsia="el-GR"/>
        </w:rPr>
      </w:pPr>
    </w:p>
    <w:p w:rsidR="00E32517" w:rsidRDefault="00E32517" w:rsidP="0099561F">
      <w:pPr>
        <w:spacing w:after="0" w:line="240" w:lineRule="auto"/>
        <w:jc w:val="both"/>
        <w:rPr>
          <w:rFonts w:ascii="Arial Narrow" w:eastAsia="Times New Roman" w:hAnsi="Arial Narrow" w:cs="Times New Roman"/>
          <w:color w:val="FF0000"/>
          <w:sz w:val="24"/>
          <w:szCs w:val="24"/>
          <w:highlight w:val="yellow"/>
          <w:lang w:eastAsia="el-GR"/>
        </w:rPr>
      </w:pPr>
    </w:p>
    <w:p w:rsidR="00E32517" w:rsidRDefault="00E32517" w:rsidP="0099561F">
      <w:pPr>
        <w:spacing w:after="0" w:line="240" w:lineRule="auto"/>
        <w:jc w:val="both"/>
        <w:rPr>
          <w:rFonts w:ascii="Arial Narrow" w:eastAsia="Times New Roman" w:hAnsi="Arial Narrow" w:cs="Times New Roman"/>
          <w:color w:val="FF0000"/>
          <w:sz w:val="24"/>
          <w:szCs w:val="24"/>
          <w:highlight w:val="yellow"/>
          <w:lang w:eastAsia="el-GR"/>
        </w:rPr>
      </w:pPr>
    </w:p>
    <w:p w:rsidR="00E32517" w:rsidRPr="00E32517" w:rsidRDefault="00E32517" w:rsidP="00E32517">
      <w:pPr>
        <w:spacing w:after="0" w:line="240" w:lineRule="auto"/>
        <w:ind w:left="1440"/>
        <w:jc w:val="both"/>
        <w:rPr>
          <w:rFonts w:ascii="Arial Narrow" w:eastAsia="Times New Roman" w:hAnsi="Arial Narrow" w:cs="Times New Roman"/>
          <w:color w:val="FF0000"/>
          <w:sz w:val="24"/>
          <w:szCs w:val="24"/>
          <w:lang w:eastAsia="el-GR"/>
        </w:rPr>
      </w:pPr>
      <w:r w:rsidRPr="00E32517">
        <w:rPr>
          <w:rFonts w:ascii="Arial Narrow" w:eastAsia="Times New Roman" w:hAnsi="Arial Narrow" w:cs="Times New Roman"/>
          <w:color w:val="FF0000"/>
          <w:sz w:val="24"/>
          <w:szCs w:val="24"/>
          <w:lang w:eastAsia="el-GR"/>
        </w:rPr>
        <w:lastRenderedPageBreak/>
        <w:t xml:space="preserve">  </w:t>
      </w:r>
      <w:r w:rsidRPr="00E32517">
        <w:rPr>
          <w:rFonts w:ascii="Arial Narrow" w:eastAsia="Times New Roman" w:hAnsi="Arial Narrow" w:cs="Times New Roman"/>
          <w:sz w:val="24"/>
          <w:szCs w:val="24"/>
          <w:lang w:eastAsia="el-GR"/>
        </w:rPr>
        <w:t xml:space="preserve"> Γραφημα 23 </w:t>
      </w:r>
      <w:r w:rsidRPr="00E32517">
        <w:rPr>
          <w:rFonts w:ascii="Arial Narrow" w:eastAsia="Times New Roman" w:hAnsi="Arial Narrow" w:cs="Times New Roman"/>
          <w:sz w:val="24"/>
          <w:szCs w:val="24"/>
          <w:lang w:eastAsia="el-GR"/>
        </w:rPr>
        <w:tab/>
      </w:r>
      <w:r w:rsidRPr="00E32517">
        <w:rPr>
          <w:rFonts w:ascii="Arial Narrow" w:eastAsia="Times New Roman" w:hAnsi="Arial Narrow" w:cs="Times New Roman"/>
          <w:sz w:val="24"/>
          <w:szCs w:val="24"/>
          <w:lang w:eastAsia="el-GR"/>
        </w:rPr>
        <w:tab/>
      </w:r>
      <w:r w:rsidRPr="00E32517">
        <w:rPr>
          <w:rFonts w:ascii="Arial Narrow" w:eastAsia="Times New Roman" w:hAnsi="Arial Narrow" w:cs="Times New Roman"/>
          <w:sz w:val="24"/>
          <w:szCs w:val="24"/>
          <w:lang w:eastAsia="el-GR"/>
        </w:rPr>
        <w:tab/>
      </w:r>
      <w:r w:rsidRPr="00E32517">
        <w:rPr>
          <w:rFonts w:ascii="Arial Narrow" w:eastAsia="Times New Roman" w:hAnsi="Arial Narrow" w:cs="Times New Roman"/>
          <w:sz w:val="24"/>
          <w:szCs w:val="24"/>
          <w:lang w:eastAsia="el-GR"/>
        </w:rPr>
        <w:tab/>
      </w:r>
      <w:r w:rsidRPr="00E32517">
        <w:rPr>
          <w:rFonts w:ascii="Arial Narrow" w:eastAsia="Times New Roman" w:hAnsi="Arial Narrow" w:cs="Times New Roman"/>
          <w:sz w:val="24"/>
          <w:szCs w:val="24"/>
          <w:lang w:eastAsia="el-GR"/>
        </w:rPr>
        <w:tab/>
      </w:r>
      <w:r w:rsidRPr="00E32517">
        <w:rPr>
          <w:rFonts w:ascii="Arial Narrow" w:eastAsia="Times New Roman" w:hAnsi="Arial Narrow" w:cs="Times New Roman"/>
          <w:sz w:val="24"/>
          <w:szCs w:val="24"/>
          <w:lang w:eastAsia="el-GR"/>
        </w:rPr>
        <w:tab/>
      </w:r>
      <w:r w:rsidRPr="00E32517">
        <w:rPr>
          <w:rFonts w:ascii="Arial Narrow" w:eastAsia="Times New Roman" w:hAnsi="Arial Narrow" w:cs="Times New Roman"/>
          <w:sz w:val="24"/>
          <w:szCs w:val="24"/>
          <w:lang w:eastAsia="el-GR"/>
        </w:rPr>
        <w:tab/>
        <w:t>Γραφημα 24</w:t>
      </w:r>
    </w:p>
    <w:p w:rsidR="0099561F" w:rsidRPr="005941FC" w:rsidRDefault="0099561F" w:rsidP="0099561F">
      <w:pPr>
        <w:spacing w:after="0" w:line="240" w:lineRule="auto"/>
        <w:jc w:val="both"/>
        <w:rPr>
          <w:rFonts w:ascii="Times New Roman" w:eastAsia="Times New Roman" w:hAnsi="Times New Roman" w:cs="Times New Roman"/>
          <w:noProof/>
          <w:sz w:val="24"/>
          <w:szCs w:val="24"/>
          <w:lang w:eastAsia="el-GR"/>
        </w:rPr>
      </w:pPr>
      <w:r w:rsidRPr="005941FC">
        <w:rPr>
          <w:rFonts w:ascii="Arial Narrow" w:eastAsia="Times New Roman" w:hAnsi="Arial Narrow" w:cs="Times New Roman"/>
          <w:noProof/>
          <w:sz w:val="24"/>
          <w:szCs w:val="24"/>
          <w:lang w:eastAsia="el-GR"/>
        </w:rPr>
        <w:drawing>
          <wp:inline distT="0" distB="0" distL="0" distR="0" wp14:anchorId="3252BB8E" wp14:editId="2AF2008B">
            <wp:extent cx="3063240" cy="3261360"/>
            <wp:effectExtent l="0" t="0" r="22860" b="15240"/>
            <wp:docPr id="56" name="Γράφημα 2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r w:rsidRPr="005941FC">
        <w:rPr>
          <w:rFonts w:ascii="Times New Roman" w:eastAsia="Times New Roman" w:hAnsi="Times New Roman" w:cs="Times New Roman"/>
          <w:noProof/>
          <w:sz w:val="24"/>
          <w:szCs w:val="24"/>
          <w:lang w:eastAsia="el-GR"/>
        </w:rPr>
        <w:t xml:space="preserve"> </w:t>
      </w:r>
      <w:r w:rsidRPr="005941FC">
        <w:rPr>
          <w:rFonts w:ascii="Arial Narrow" w:eastAsia="Times New Roman" w:hAnsi="Arial Narrow" w:cs="Times New Roman"/>
          <w:noProof/>
          <w:sz w:val="24"/>
          <w:szCs w:val="24"/>
          <w:lang w:eastAsia="el-GR"/>
        </w:rPr>
        <w:drawing>
          <wp:inline distT="0" distB="0" distL="0" distR="0" wp14:anchorId="210B92B0" wp14:editId="54073AA2">
            <wp:extent cx="3246120" cy="3246120"/>
            <wp:effectExtent l="0" t="0" r="11430" b="11430"/>
            <wp:docPr id="57" name="Γράφημα 2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tbl>
      <w:tblPr>
        <w:tblW w:w="4835" w:type="dxa"/>
        <w:tblCellMar>
          <w:left w:w="0" w:type="dxa"/>
          <w:right w:w="0" w:type="dxa"/>
        </w:tblCellMar>
        <w:tblLook w:val="0600" w:firstRow="0" w:lastRow="0" w:firstColumn="0" w:lastColumn="0" w:noHBand="1" w:noVBand="1"/>
      </w:tblPr>
      <w:tblGrid>
        <w:gridCol w:w="582"/>
        <w:gridCol w:w="709"/>
        <w:gridCol w:w="709"/>
        <w:gridCol w:w="709"/>
        <w:gridCol w:w="708"/>
        <w:gridCol w:w="709"/>
        <w:gridCol w:w="709"/>
      </w:tblGrid>
      <w:tr w:rsidR="0099561F" w:rsidRPr="0099561F" w:rsidTr="0099561F">
        <w:trPr>
          <w:trHeight w:val="525"/>
        </w:trPr>
        <w:tc>
          <w:tcPr>
            <w:tcW w:w="58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9561F" w:rsidRPr="0099561F" w:rsidRDefault="0099561F" w:rsidP="0099561F">
            <w:pPr>
              <w:spacing w:after="0" w:line="240" w:lineRule="auto"/>
              <w:jc w:val="center"/>
              <w:textAlignment w:val="center"/>
              <w:rPr>
                <w:rFonts w:ascii="Arial" w:eastAsia="Times New Roman" w:hAnsi="Arial" w:cs="Arial"/>
                <w:sz w:val="36"/>
                <w:szCs w:val="36"/>
                <w:lang w:eastAsia="el-GR"/>
              </w:rPr>
            </w:pPr>
            <w:r w:rsidRPr="0099561F">
              <w:rPr>
                <w:rFonts w:ascii="Microsoft Sans Serif" w:eastAsia="Times New Roman" w:hAnsi="Microsoft Sans Serif" w:cs="Microsoft Sans Serif"/>
                <w:color w:val="000000"/>
                <w:kern w:val="24"/>
                <w:sz w:val="18"/>
                <w:szCs w:val="18"/>
                <w:lang w:eastAsia="el-GR"/>
              </w:rPr>
              <w:t>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9561F" w:rsidRPr="0099561F" w:rsidRDefault="0099561F" w:rsidP="0099561F">
            <w:pPr>
              <w:spacing w:after="0" w:line="240" w:lineRule="auto"/>
              <w:jc w:val="center"/>
              <w:textAlignment w:val="center"/>
              <w:rPr>
                <w:rFonts w:ascii="Arial" w:eastAsia="Times New Roman" w:hAnsi="Arial" w:cs="Arial"/>
                <w:sz w:val="36"/>
                <w:szCs w:val="36"/>
                <w:lang w:eastAsia="el-GR"/>
              </w:rPr>
            </w:pPr>
            <w:r w:rsidRPr="0099561F">
              <w:rPr>
                <w:rFonts w:ascii="Microsoft Sans Serif" w:eastAsia="Times New Roman" w:hAnsi="Microsoft Sans Serif" w:cs="Microsoft Sans Serif"/>
                <w:color w:val="000000"/>
                <w:kern w:val="24"/>
                <w:sz w:val="18"/>
                <w:szCs w:val="18"/>
                <w:lang w:eastAsia="el-GR"/>
              </w:rPr>
              <w:t xml:space="preserve">Ιουλ. </w:t>
            </w:r>
          </w:p>
          <w:p w:rsidR="0099561F" w:rsidRPr="0099561F" w:rsidRDefault="0099561F" w:rsidP="0099561F">
            <w:pPr>
              <w:spacing w:after="0" w:line="240" w:lineRule="auto"/>
              <w:jc w:val="center"/>
              <w:textAlignment w:val="center"/>
              <w:rPr>
                <w:rFonts w:ascii="Arial" w:eastAsia="Times New Roman" w:hAnsi="Arial" w:cs="Arial"/>
                <w:sz w:val="36"/>
                <w:szCs w:val="36"/>
                <w:lang w:eastAsia="el-GR"/>
              </w:rPr>
            </w:pPr>
            <w:r w:rsidRPr="0099561F">
              <w:rPr>
                <w:rFonts w:ascii="Microsoft Sans Serif" w:eastAsia="Times New Roman" w:hAnsi="Microsoft Sans Serif" w:cs="Microsoft Sans Serif"/>
                <w:color w:val="000000"/>
                <w:kern w:val="24"/>
                <w:sz w:val="18"/>
                <w:szCs w:val="18"/>
                <w:lang w:eastAsia="el-GR"/>
              </w:rPr>
              <w:t>2016</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9561F" w:rsidRPr="0099561F" w:rsidRDefault="0099561F" w:rsidP="0099561F">
            <w:pPr>
              <w:spacing w:after="0" w:line="240" w:lineRule="auto"/>
              <w:jc w:val="center"/>
              <w:textAlignment w:val="center"/>
              <w:rPr>
                <w:rFonts w:ascii="Arial" w:eastAsia="Times New Roman" w:hAnsi="Arial" w:cs="Arial"/>
                <w:sz w:val="36"/>
                <w:szCs w:val="36"/>
                <w:lang w:eastAsia="el-GR"/>
              </w:rPr>
            </w:pPr>
            <w:r w:rsidRPr="0099561F">
              <w:rPr>
                <w:rFonts w:ascii="Microsoft Sans Serif" w:eastAsia="Times New Roman" w:hAnsi="Microsoft Sans Serif" w:cs="Microsoft Sans Serif"/>
                <w:color w:val="000000"/>
                <w:kern w:val="24"/>
                <w:sz w:val="18"/>
                <w:szCs w:val="18"/>
                <w:lang w:eastAsia="el-GR"/>
              </w:rPr>
              <w:t>Φεβρ. 2017</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9561F" w:rsidRPr="0099561F" w:rsidRDefault="0099561F" w:rsidP="0099561F">
            <w:pPr>
              <w:spacing w:after="0" w:line="240" w:lineRule="auto"/>
              <w:jc w:val="center"/>
              <w:textAlignment w:val="center"/>
              <w:rPr>
                <w:rFonts w:ascii="Arial" w:eastAsia="Times New Roman" w:hAnsi="Arial" w:cs="Arial"/>
                <w:sz w:val="36"/>
                <w:szCs w:val="36"/>
                <w:lang w:eastAsia="el-GR"/>
              </w:rPr>
            </w:pPr>
            <w:r w:rsidRPr="0099561F">
              <w:rPr>
                <w:rFonts w:ascii="Microsoft Sans Serif" w:eastAsia="Times New Roman" w:hAnsi="Microsoft Sans Serif" w:cs="Microsoft Sans Serif"/>
                <w:color w:val="000000"/>
                <w:kern w:val="24"/>
                <w:sz w:val="18"/>
                <w:szCs w:val="18"/>
                <w:lang w:eastAsia="el-GR"/>
              </w:rPr>
              <w:t xml:space="preserve">Ιουλ. </w:t>
            </w:r>
          </w:p>
          <w:p w:rsidR="0099561F" w:rsidRPr="0099561F" w:rsidRDefault="0099561F" w:rsidP="0099561F">
            <w:pPr>
              <w:spacing w:after="0" w:line="240" w:lineRule="auto"/>
              <w:jc w:val="center"/>
              <w:textAlignment w:val="center"/>
              <w:rPr>
                <w:rFonts w:ascii="Arial" w:eastAsia="Times New Roman" w:hAnsi="Arial" w:cs="Arial"/>
                <w:sz w:val="36"/>
                <w:szCs w:val="36"/>
                <w:lang w:eastAsia="el-GR"/>
              </w:rPr>
            </w:pPr>
            <w:r w:rsidRPr="0099561F">
              <w:rPr>
                <w:rFonts w:ascii="Microsoft Sans Serif" w:eastAsia="Times New Roman" w:hAnsi="Microsoft Sans Serif" w:cs="Microsoft Sans Serif"/>
                <w:color w:val="000000"/>
                <w:kern w:val="24"/>
                <w:sz w:val="18"/>
                <w:szCs w:val="18"/>
                <w:lang w:eastAsia="el-GR"/>
              </w:rPr>
              <w:t>2017</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9561F" w:rsidRPr="0099561F" w:rsidRDefault="0099561F" w:rsidP="0099561F">
            <w:pPr>
              <w:spacing w:after="0" w:line="240" w:lineRule="auto"/>
              <w:jc w:val="center"/>
              <w:textAlignment w:val="center"/>
              <w:rPr>
                <w:rFonts w:ascii="Arial" w:eastAsia="Times New Roman" w:hAnsi="Arial" w:cs="Arial"/>
                <w:sz w:val="36"/>
                <w:szCs w:val="36"/>
                <w:lang w:eastAsia="el-GR"/>
              </w:rPr>
            </w:pPr>
            <w:r w:rsidRPr="0099561F">
              <w:rPr>
                <w:rFonts w:ascii="Microsoft Sans Serif" w:eastAsia="Times New Roman" w:hAnsi="Microsoft Sans Serif" w:cs="Microsoft Sans Serif"/>
                <w:color w:val="000000"/>
                <w:kern w:val="24"/>
                <w:sz w:val="18"/>
                <w:szCs w:val="18"/>
                <w:lang w:eastAsia="el-GR"/>
              </w:rPr>
              <w:t xml:space="preserve">Φεβρ. </w:t>
            </w:r>
          </w:p>
          <w:p w:rsidR="0099561F" w:rsidRPr="0099561F" w:rsidRDefault="0099561F" w:rsidP="0099561F">
            <w:pPr>
              <w:spacing w:after="0" w:line="240" w:lineRule="auto"/>
              <w:jc w:val="center"/>
              <w:textAlignment w:val="center"/>
              <w:rPr>
                <w:rFonts w:ascii="Arial" w:eastAsia="Times New Roman" w:hAnsi="Arial" w:cs="Arial"/>
                <w:sz w:val="36"/>
                <w:szCs w:val="36"/>
                <w:lang w:eastAsia="el-GR"/>
              </w:rPr>
            </w:pPr>
            <w:r w:rsidRPr="0099561F">
              <w:rPr>
                <w:rFonts w:ascii="Microsoft Sans Serif" w:eastAsia="Times New Roman" w:hAnsi="Microsoft Sans Serif" w:cs="Microsoft Sans Serif"/>
                <w:color w:val="000000"/>
                <w:kern w:val="24"/>
                <w:sz w:val="18"/>
                <w:szCs w:val="18"/>
                <w:lang w:eastAsia="el-GR"/>
              </w:rPr>
              <w:t>2018</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9561F" w:rsidRPr="0099561F" w:rsidRDefault="0099561F" w:rsidP="0099561F">
            <w:pPr>
              <w:spacing w:after="0" w:line="240" w:lineRule="auto"/>
              <w:jc w:val="center"/>
              <w:textAlignment w:val="center"/>
              <w:rPr>
                <w:rFonts w:ascii="Arial" w:eastAsia="Times New Roman" w:hAnsi="Arial" w:cs="Arial"/>
                <w:sz w:val="36"/>
                <w:szCs w:val="36"/>
                <w:lang w:eastAsia="el-GR"/>
              </w:rPr>
            </w:pPr>
            <w:r w:rsidRPr="0099561F">
              <w:rPr>
                <w:rFonts w:ascii="Microsoft Sans Serif" w:eastAsia="Times New Roman" w:hAnsi="Microsoft Sans Serif" w:cs="Microsoft Sans Serif"/>
                <w:color w:val="000000"/>
                <w:kern w:val="24"/>
                <w:sz w:val="18"/>
                <w:szCs w:val="18"/>
                <w:lang w:eastAsia="el-GR"/>
              </w:rPr>
              <w:t xml:space="preserve">Ιούλ. </w:t>
            </w:r>
          </w:p>
          <w:p w:rsidR="0099561F" w:rsidRPr="0099561F" w:rsidRDefault="0099561F" w:rsidP="0099561F">
            <w:pPr>
              <w:spacing w:after="0" w:line="240" w:lineRule="auto"/>
              <w:jc w:val="center"/>
              <w:textAlignment w:val="center"/>
              <w:rPr>
                <w:rFonts w:ascii="Arial" w:eastAsia="Times New Roman" w:hAnsi="Arial" w:cs="Arial"/>
                <w:sz w:val="36"/>
                <w:szCs w:val="36"/>
                <w:lang w:eastAsia="el-GR"/>
              </w:rPr>
            </w:pPr>
            <w:r w:rsidRPr="0099561F">
              <w:rPr>
                <w:rFonts w:ascii="Microsoft Sans Serif" w:eastAsia="Times New Roman" w:hAnsi="Microsoft Sans Serif" w:cs="Microsoft Sans Serif"/>
                <w:color w:val="000000"/>
                <w:kern w:val="24"/>
                <w:sz w:val="18"/>
                <w:szCs w:val="18"/>
                <w:lang w:eastAsia="el-GR"/>
              </w:rPr>
              <w:t>2018</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9561F" w:rsidRPr="0099561F" w:rsidRDefault="0099561F" w:rsidP="0099561F">
            <w:pPr>
              <w:spacing w:after="0" w:line="240" w:lineRule="auto"/>
              <w:jc w:val="center"/>
              <w:textAlignment w:val="center"/>
              <w:rPr>
                <w:rFonts w:ascii="Arial" w:eastAsia="Times New Roman" w:hAnsi="Arial" w:cs="Arial"/>
                <w:sz w:val="36"/>
                <w:szCs w:val="36"/>
                <w:lang w:eastAsia="el-GR"/>
              </w:rPr>
            </w:pPr>
            <w:r w:rsidRPr="0099561F">
              <w:rPr>
                <w:rFonts w:ascii="Microsoft Sans Serif" w:eastAsia="Times New Roman" w:hAnsi="Microsoft Sans Serif" w:cs="Microsoft Sans Serif"/>
                <w:color w:val="000000"/>
                <w:kern w:val="24"/>
                <w:sz w:val="18"/>
                <w:szCs w:val="18"/>
                <w:lang w:eastAsia="el-GR"/>
              </w:rPr>
              <w:t xml:space="preserve">Φεβρ. </w:t>
            </w:r>
          </w:p>
          <w:p w:rsidR="0099561F" w:rsidRPr="0099561F" w:rsidRDefault="0099561F" w:rsidP="0099561F">
            <w:pPr>
              <w:spacing w:after="0" w:line="240" w:lineRule="auto"/>
              <w:jc w:val="center"/>
              <w:textAlignment w:val="center"/>
              <w:rPr>
                <w:rFonts w:ascii="Arial" w:eastAsia="Times New Roman" w:hAnsi="Arial" w:cs="Arial"/>
                <w:sz w:val="36"/>
                <w:szCs w:val="36"/>
                <w:lang w:eastAsia="el-GR"/>
              </w:rPr>
            </w:pPr>
            <w:r w:rsidRPr="0099561F">
              <w:rPr>
                <w:rFonts w:ascii="Microsoft Sans Serif" w:eastAsia="Times New Roman" w:hAnsi="Microsoft Sans Serif" w:cs="Microsoft Sans Serif"/>
                <w:color w:val="000000"/>
                <w:kern w:val="24"/>
                <w:sz w:val="18"/>
                <w:szCs w:val="18"/>
                <w:lang w:eastAsia="el-GR"/>
              </w:rPr>
              <w:t>2019</w:t>
            </w:r>
          </w:p>
        </w:tc>
      </w:tr>
      <w:tr w:rsidR="0099561F" w:rsidRPr="0099561F" w:rsidTr="0099561F">
        <w:trPr>
          <w:trHeight w:val="315"/>
        </w:trPr>
        <w:tc>
          <w:tcPr>
            <w:tcW w:w="58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9561F" w:rsidRPr="0099561F" w:rsidRDefault="0099561F" w:rsidP="0099561F">
            <w:pPr>
              <w:spacing w:after="0" w:line="315" w:lineRule="atLeast"/>
              <w:textAlignment w:val="center"/>
              <w:rPr>
                <w:rFonts w:ascii="Arial" w:eastAsia="Times New Roman" w:hAnsi="Arial" w:cs="Arial"/>
                <w:sz w:val="36"/>
                <w:szCs w:val="36"/>
                <w:lang w:eastAsia="el-GR"/>
              </w:rPr>
            </w:pPr>
            <w:r w:rsidRPr="0099561F">
              <w:rPr>
                <w:rFonts w:ascii="Microsoft Sans Serif" w:eastAsia="Times New Roman" w:hAnsi="Microsoft Sans Serif" w:cs="Microsoft Sans Serif"/>
                <w:color w:val="000000"/>
                <w:kern w:val="24"/>
                <w:sz w:val="20"/>
                <w:szCs w:val="20"/>
                <w:lang w:eastAsia="el-GR"/>
              </w:rPr>
              <w:t>Ναι</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9561F" w:rsidRPr="0099561F" w:rsidRDefault="0099561F" w:rsidP="0099561F">
            <w:pPr>
              <w:spacing w:after="0" w:line="315" w:lineRule="atLeast"/>
              <w:jc w:val="center"/>
              <w:textAlignment w:val="center"/>
              <w:rPr>
                <w:rFonts w:ascii="Arial" w:eastAsia="Times New Roman" w:hAnsi="Arial" w:cs="Arial"/>
                <w:sz w:val="36"/>
                <w:szCs w:val="36"/>
                <w:lang w:eastAsia="el-GR"/>
              </w:rPr>
            </w:pPr>
            <w:r w:rsidRPr="0099561F">
              <w:rPr>
                <w:rFonts w:ascii="Microsoft Sans Serif" w:eastAsia="Times New Roman" w:hAnsi="Microsoft Sans Serif" w:cs="Microsoft Sans Serif"/>
                <w:color w:val="000000"/>
                <w:kern w:val="24"/>
                <w:sz w:val="20"/>
                <w:szCs w:val="20"/>
                <w:lang w:eastAsia="el-GR"/>
              </w:rPr>
              <w:t>55,3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9561F" w:rsidRPr="0099561F" w:rsidRDefault="0099561F" w:rsidP="0099561F">
            <w:pPr>
              <w:spacing w:after="0" w:line="315" w:lineRule="atLeast"/>
              <w:jc w:val="center"/>
              <w:textAlignment w:val="center"/>
              <w:rPr>
                <w:rFonts w:ascii="Arial" w:eastAsia="Times New Roman" w:hAnsi="Arial" w:cs="Arial"/>
                <w:sz w:val="36"/>
                <w:szCs w:val="36"/>
                <w:lang w:eastAsia="el-GR"/>
              </w:rPr>
            </w:pPr>
            <w:r w:rsidRPr="0099561F">
              <w:rPr>
                <w:rFonts w:ascii="Microsoft Sans Serif" w:eastAsia="Times New Roman" w:hAnsi="Microsoft Sans Serif" w:cs="Microsoft Sans Serif"/>
                <w:color w:val="000000"/>
                <w:kern w:val="24"/>
                <w:sz w:val="20"/>
                <w:szCs w:val="20"/>
                <w:lang w:eastAsia="el-GR"/>
              </w:rPr>
              <w:t>51,4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9561F" w:rsidRPr="0099561F" w:rsidRDefault="0099561F" w:rsidP="0099561F">
            <w:pPr>
              <w:spacing w:after="0" w:line="315" w:lineRule="atLeast"/>
              <w:jc w:val="center"/>
              <w:textAlignment w:val="center"/>
              <w:rPr>
                <w:rFonts w:ascii="Arial" w:eastAsia="Times New Roman" w:hAnsi="Arial" w:cs="Arial"/>
                <w:sz w:val="36"/>
                <w:szCs w:val="36"/>
                <w:lang w:eastAsia="el-GR"/>
              </w:rPr>
            </w:pPr>
            <w:r w:rsidRPr="0099561F">
              <w:rPr>
                <w:rFonts w:ascii="Microsoft Sans Serif" w:eastAsia="Times New Roman" w:hAnsi="Microsoft Sans Serif" w:cs="Microsoft Sans Serif"/>
                <w:color w:val="000000"/>
                <w:kern w:val="24"/>
                <w:sz w:val="20"/>
                <w:szCs w:val="20"/>
                <w:lang w:eastAsia="el-GR"/>
              </w:rPr>
              <w:t>62,4</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9561F" w:rsidRPr="0099561F" w:rsidRDefault="0099561F" w:rsidP="0099561F">
            <w:pPr>
              <w:spacing w:after="0" w:line="315" w:lineRule="atLeast"/>
              <w:jc w:val="center"/>
              <w:textAlignment w:val="center"/>
              <w:rPr>
                <w:rFonts w:ascii="Arial" w:eastAsia="Times New Roman" w:hAnsi="Arial" w:cs="Arial"/>
                <w:sz w:val="36"/>
                <w:szCs w:val="36"/>
                <w:lang w:eastAsia="el-GR"/>
              </w:rPr>
            </w:pPr>
            <w:r w:rsidRPr="0099561F">
              <w:rPr>
                <w:rFonts w:ascii="Microsoft Sans Serif" w:eastAsia="Times New Roman" w:hAnsi="Microsoft Sans Serif" w:cs="Microsoft Sans Serif"/>
                <w:color w:val="000000"/>
                <w:kern w:val="24"/>
                <w:sz w:val="20"/>
                <w:szCs w:val="20"/>
                <w:lang w:eastAsia="el-GR"/>
              </w:rPr>
              <w:t>67,2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9561F" w:rsidRPr="0099561F" w:rsidRDefault="0099561F" w:rsidP="0099561F">
            <w:pPr>
              <w:spacing w:after="0" w:line="315" w:lineRule="atLeast"/>
              <w:jc w:val="center"/>
              <w:textAlignment w:val="center"/>
              <w:rPr>
                <w:rFonts w:ascii="Arial" w:eastAsia="Times New Roman" w:hAnsi="Arial" w:cs="Arial"/>
                <w:sz w:val="36"/>
                <w:szCs w:val="36"/>
                <w:lang w:eastAsia="el-GR"/>
              </w:rPr>
            </w:pPr>
            <w:r w:rsidRPr="0099561F">
              <w:rPr>
                <w:rFonts w:ascii="Microsoft Sans Serif" w:eastAsia="Times New Roman" w:hAnsi="Microsoft Sans Serif" w:cs="Microsoft Sans Serif"/>
                <w:color w:val="000000"/>
                <w:kern w:val="24"/>
                <w:sz w:val="20"/>
                <w:szCs w:val="20"/>
                <w:lang w:eastAsia="el-GR"/>
              </w:rPr>
              <w:t>68,9</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9561F" w:rsidRPr="0099561F" w:rsidRDefault="0099561F" w:rsidP="0099561F">
            <w:pPr>
              <w:spacing w:after="0" w:line="315" w:lineRule="atLeast"/>
              <w:jc w:val="center"/>
              <w:textAlignment w:val="center"/>
              <w:rPr>
                <w:rFonts w:ascii="Arial" w:eastAsia="Times New Roman" w:hAnsi="Arial" w:cs="Arial"/>
                <w:sz w:val="36"/>
                <w:szCs w:val="36"/>
                <w:lang w:eastAsia="el-GR"/>
              </w:rPr>
            </w:pPr>
            <w:r w:rsidRPr="0099561F">
              <w:rPr>
                <w:rFonts w:ascii="Microsoft Sans Serif" w:eastAsia="Times New Roman" w:hAnsi="Microsoft Sans Serif" w:cs="Microsoft Sans Serif"/>
                <w:color w:val="000000"/>
                <w:kern w:val="24"/>
                <w:sz w:val="20"/>
                <w:szCs w:val="20"/>
                <w:lang w:eastAsia="el-GR"/>
              </w:rPr>
              <w:t>72,2</w:t>
            </w:r>
          </w:p>
        </w:tc>
      </w:tr>
      <w:tr w:rsidR="0099561F" w:rsidRPr="0099561F" w:rsidTr="0099561F">
        <w:trPr>
          <w:trHeight w:val="315"/>
        </w:trPr>
        <w:tc>
          <w:tcPr>
            <w:tcW w:w="58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9561F" w:rsidRPr="0099561F" w:rsidRDefault="0099561F" w:rsidP="0099561F">
            <w:pPr>
              <w:spacing w:after="0" w:line="315" w:lineRule="atLeast"/>
              <w:textAlignment w:val="center"/>
              <w:rPr>
                <w:rFonts w:ascii="Arial" w:eastAsia="Times New Roman" w:hAnsi="Arial" w:cs="Arial"/>
                <w:sz w:val="36"/>
                <w:szCs w:val="36"/>
                <w:lang w:eastAsia="el-GR"/>
              </w:rPr>
            </w:pPr>
            <w:r w:rsidRPr="0099561F">
              <w:rPr>
                <w:rFonts w:ascii="Microsoft Sans Serif" w:eastAsia="Times New Roman" w:hAnsi="Microsoft Sans Serif" w:cs="Microsoft Sans Serif"/>
                <w:color w:val="000000"/>
                <w:kern w:val="24"/>
                <w:sz w:val="20"/>
                <w:szCs w:val="20"/>
                <w:lang w:eastAsia="el-GR"/>
              </w:rPr>
              <w:t>Όχι</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9561F" w:rsidRPr="0099561F" w:rsidRDefault="0099561F" w:rsidP="0099561F">
            <w:pPr>
              <w:spacing w:after="0" w:line="315" w:lineRule="atLeast"/>
              <w:jc w:val="center"/>
              <w:textAlignment w:val="center"/>
              <w:rPr>
                <w:rFonts w:ascii="Arial" w:eastAsia="Times New Roman" w:hAnsi="Arial" w:cs="Arial"/>
                <w:sz w:val="36"/>
                <w:szCs w:val="36"/>
                <w:lang w:eastAsia="el-GR"/>
              </w:rPr>
            </w:pPr>
            <w:r w:rsidRPr="0099561F">
              <w:rPr>
                <w:rFonts w:ascii="Microsoft Sans Serif" w:eastAsia="Times New Roman" w:hAnsi="Microsoft Sans Serif" w:cs="Microsoft Sans Serif"/>
                <w:color w:val="000000"/>
                <w:kern w:val="24"/>
                <w:sz w:val="20"/>
                <w:szCs w:val="20"/>
                <w:lang w:eastAsia="el-GR"/>
              </w:rPr>
              <w:t>30,9</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9561F" w:rsidRPr="0099561F" w:rsidRDefault="0099561F" w:rsidP="0099561F">
            <w:pPr>
              <w:spacing w:after="0" w:line="315" w:lineRule="atLeast"/>
              <w:jc w:val="center"/>
              <w:textAlignment w:val="center"/>
              <w:rPr>
                <w:rFonts w:ascii="Arial" w:eastAsia="Times New Roman" w:hAnsi="Arial" w:cs="Arial"/>
                <w:sz w:val="36"/>
                <w:szCs w:val="36"/>
                <w:lang w:eastAsia="el-GR"/>
              </w:rPr>
            </w:pPr>
            <w:r w:rsidRPr="0099561F">
              <w:rPr>
                <w:rFonts w:ascii="Microsoft Sans Serif" w:eastAsia="Times New Roman" w:hAnsi="Microsoft Sans Serif" w:cs="Microsoft Sans Serif"/>
                <w:color w:val="000000"/>
                <w:kern w:val="24"/>
                <w:sz w:val="20"/>
                <w:szCs w:val="20"/>
                <w:lang w:eastAsia="el-GR"/>
              </w:rPr>
              <w:t>33,2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9561F" w:rsidRPr="0099561F" w:rsidRDefault="0099561F" w:rsidP="0099561F">
            <w:pPr>
              <w:spacing w:after="0" w:line="315" w:lineRule="atLeast"/>
              <w:jc w:val="center"/>
              <w:textAlignment w:val="center"/>
              <w:rPr>
                <w:rFonts w:ascii="Arial" w:eastAsia="Times New Roman" w:hAnsi="Arial" w:cs="Arial"/>
                <w:sz w:val="36"/>
                <w:szCs w:val="36"/>
                <w:lang w:eastAsia="el-GR"/>
              </w:rPr>
            </w:pPr>
            <w:r w:rsidRPr="0099561F">
              <w:rPr>
                <w:rFonts w:ascii="Microsoft Sans Serif" w:eastAsia="Times New Roman" w:hAnsi="Microsoft Sans Serif" w:cs="Microsoft Sans Serif"/>
                <w:color w:val="000000"/>
                <w:kern w:val="24"/>
                <w:sz w:val="20"/>
                <w:szCs w:val="20"/>
                <w:lang w:eastAsia="el-GR"/>
              </w:rPr>
              <w:t>23,7</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9561F" w:rsidRPr="0099561F" w:rsidRDefault="0099561F" w:rsidP="0099561F">
            <w:pPr>
              <w:spacing w:after="0" w:line="315" w:lineRule="atLeast"/>
              <w:jc w:val="center"/>
              <w:textAlignment w:val="center"/>
              <w:rPr>
                <w:rFonts w:ascii="Arial" w:eastAsia="Times New Roman" w:hAnsi="Arial" w:cs="Arial"/>
                <w:sz w:val="36"/>
                <w:szCs w:val="36"/>
                <w:lang w:eastAsia="el-GR"/>
              </w:rPr>
            </w:pPr>
            <w:r w:rsidRPr="0099561F">
              <w:rPr>
                <w:rFonts w:ascii="Microsoft Sans Serif" w:eastAsia="Times New Roman" w:hAnsi="Microsoft Sans Serif" w:cs="Microsoft Sans Serif"/>
                <w:color w:val="000000"/>
                <w:kern w:val="24"/>
                <w:sz w:val="20"/>
                <w:szCs w:val="20"/>
                <w:lang w:eastAsia="el-GR"/>
              </w:rPr>
              <w:t>19,6</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9561F" w:rsidRPr="0099561F" w:rsidRDefault="0099561F" w:rsidP="0099561F">
            <w:pPr>
              <w:spacing w:after="0" w:line="315" w:lineRule="atLeast"/>
              <w:jc w:val="center"/>
              <w:textAlignment w:val="center"/>
              <w:rPr>
                <w:rFonts w:ascii="Arial" w:eastAsia="Times New Roman" w:hAnsi="Arial" w:cs="Arial"/>
                <w:sz w:val="36"/>
                <w:szCs w:val="36"/>
                <w:lang w:eastAsia="el-GR"/>
              </w:rPr>
            </w:pPr>
            <w:r w:rsidRPr="0099561F">
              <w:rPr>
                <w:rFonts w:ascii="Microsoft Sans Serif" w:eastAsia="Times New Roman" w:hAnsi="Microsoft Sans Serif" w:cs="Microsoft Sans Serif"/>
                <w:color w:val="000000"/>
                <w:kern w:val="24"/>
                <w:sz w:val="20"/>
                <w:szCs w:val="20"/>
                <w:lang w:eastAsia="el-GR"/>
              </w:rPr>
              <w:t>19,4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9561F" w:rsidRPr="0099561F" w:rsidRDefault="0099561F" w:rsidP="0099561F">
            <w:pPr>
              <w:spacing w:after="0" w:line="315" w:lineRule="atLeast"/>
              <w:jc w:val="center"/>
              <w:textAlignment w:val="center"/>
              <w:rPr>
                <w:rFonts w:ascii="Arial" w:eastAsia="Times New Roman" w:hAnsi="Arial" w:cs="Arial"/>
                <w:sz w:val="36"/>
                <w:szCs w:val="36"/>
                <w:lang w:eastAsia="el-GR"/>
              </w:rPr>
            </w:pPr>
            <w:r w:rsidRPr="0099561F">
              <w:rPr>
                <w:rFonts w:ascii="Microsoft Sans Serif" w:eastAsia="Times New Roman" w:hAnsi="Microsoft Sans Serif" w:cs="Microsoft Sans Serif"/>
                <w:color w:val="000000"/>
                <w:kern w:val="24"/>
                <w:sz w:val="20"/>
                <w:szCs w:val="20"/>
                <w:lang w:eastAsia="el-GR"/>
              </w:rPr>
              <w:t>19,0</w:t>
            </w:r>
          </w:p>
        </w:tc>
      </w:tr>
      <w:tr w:rsidR="0099561F" w:rsidRPr="0099561F" w:rsidTr="0099561F">
        <w:trPr>
          <w:trHeight w:val="315"/>
        </w:trPr>
        <w:tc>
          <w:tcPr>
            <w:tcW w:w="58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9561F" w:rsidRPr="0099561F" w:rsidRDefault="0099561F" w:rsidP="0099561F">
            <w:pPr>
              <w:spacing w:after="0" w:line="315" w:lineRule="atLeast"/>
              <w:textAlignment w:val="center"/>
              <w:rPr>
                <w:rFonts w:ascii="Arial" w:eastAsia="Times New Roman" w:hAnsi="Arial" w:cs="Arial"/>
                <w:sz w:val="36"/>
                <w:szCs w:val="36"/>
                <w:lang w:eastAsia="el-GR"/>
              </w:rPr>
            </w:pPr>
            <w:r w:rsidRPr="0099561F">
              <w:rPr>
                <w:rFonts w:ascii="Microsoft Sans Serif" w:eastAsia="Times New Roman" w:hAnsi="Microsoft Sans Serif" w:cs="Microsoft Sans Serif"/>
                <w:color w:val="000000"/>
                <w:kern w:val="24"/>
                <w:sz w:val="20"/>
                <w:szCs w:val="20"/>
                <w:lang w:eastAsia="el-GR"/>
              </w:rPr>
              <w:t xml:space="preserve">ΔΑ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9561F" w:rsidRPr="0099561F" w:rsidRDefault="0099561F" w:rsidP="0099561F">
            <w:pPr>
              <w:spacing w:after="0" w:line="315" w:lineRule="atLeast"/>
              <w:jc w:val="center"/>
              <w:textAlignment w:val="center"/>
              <w:rPr>
                <w:rFonts w:ascii="Arial" w:eastAsia="Times New Roman" w:hAnsi="Arial" w:cs="Arial"/>
                <w:sz w:val="36"/>
                <w:szCs w:val="36"/>
                <w:lang w:eastAsia="el-GR"/>
              </w:rPr>
            </w:pPr>
            <w:r w:rsidRPr="0099561F">
              <w:rPr>
                <w:rFonts w:ascii="Microsoft Sans Serif" w:eastAsia="Times New Roman" w:hAnsi="Microsoft Sans Serif" w:cs="Microsoft Sans Serif"/>
                <w:color w:val="000000"/>
                <w:kern w:val="24"/>
                <w:sz w:val="20"/>
                <w:szCs w:val="20"/>
                <w:lang w:eastAsia="el-GR"/>
              </w:rPr>
              <w:t>13,8</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9561F" w:rsidRPr="0099561F" w:rsidRDefault="0099561F" w:rsidP="0099561F">
            <w:pPr>
              <w:spacing w:after="0" w:line="315" w:lineRule="atLeast"/>
              <w:jc w:val="center"/>
              <w:textAlignment w:val="center"/>
              <w:rPr>
                <w:rFonts w:ascii="Arial" w:eastAsia="Times New Roman" w:hAnsi="Arial" w:cs="Arial"/>
                <w:sz w:val="36"/>
                <w:szCs w:val="36"/>
                <w:lang w:eastAsia="el-GR"/>
              </w:rPr>
            </w:pPr>
            <w:r w:rsidRPr="0099561F">
              <w:rPr>
                <w:rFonts w:ascii="Microsoft Sans Serif" w:eastAsia="Times New Roman" w:hAnsi="Microsoft Sans Serif" w:cs="Microsoft Sans Serif"/>
                <w:color w:val="000000"/>
                <w:kern w:val="24"/>
                <w:sz w:val="20"/>
                <w:szCs w:val="20"/>
                <w:lang w:eastAsia="el-GR"/>
              </w:rPr>
              <w:t>15,4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9561F" w:rsidRPr="0099561F" w:rsidRDefault="0099561F" w:rsidP="0099561F">
            <w:pPr>
              <w:spacing w:after="0" w:line="240" w:lineRule="auto"/>
              <w:rPr>
                <w:rFonts w:ascii="Arial" w:eastAsia="Times New Roman" w:hAnsi="Arial" w:cs="Arial"/>
                <w:sz w:val="32"/>
                <w:szCs w:val="36"/>
                <w:lang w:eastAsia="el-GR"/>
              </w:rPr>
            </w:pPr>
            <w:r w:rsidRPr="0099561F">
              <w:rPr>
                <w:rFonts w:ascii="Microsoft Sans Serif" w:eastAsia="Times New Roman" w:hAnsi="Microsoft Sans Serif" w:cs="Microsoft Sans Serif"/>
                <w:color w:val="000000"/>
                <w:kern w:val="24"/>
                <w:sz w:val="20"/>
                <w:szCs w:val="20"/>
                <w:lang w:eastAsia="el-GR"/>
              </w:rPr>
              <w:t>13,9</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9561F" w:rsidRPr="0099561F" w:rsidRDefault="0099561F" w:rsidP="0099561F">
            <w:pPr>
              <w:spacing w:after="0" w:line="315" w:lineRule="atLeast"/>
              <w:jc w:val="center"/>
              <w:textAlignment w:val="center"/>
              <w:rPr>
                <w:rFonts w:ascii="Arial" w:eastAsia="Times New Roman" w:hAnsi="Arial" w:cs="Arial"/>
                <w:sz w:val="36"/>
                <w:szCs w:val="36"/>
                <w:lang w:eastAsia="el-GR"/>
              </w:rPr>
            </w:pPr>
            <w:r w:rsidRPr="0099561F">
              <w:rPr>
                <w:rFonts w:ascii="Microsoft Sans Serif" w:eastAsia="Times New Roman" w:hAnsi="Microsoft Sans Serif" w:cs="Microsoft Sans Serif"/>
                <w:color w:val="000000"/>
                <w:kern w:val="24"/>
                <w:sz w:val="20"/>
                <w:szCs w:val="20"/>
                <w:lang w:eastAsia="el-GR"/>
              </w:rPr>
              <w:t>13,2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9561F" w:rsidRPr="0099561F" w:rsidRDefault="0099561F" w:rsidP="0099561F">
            <w:pPr>
              <w:spacing w:after="0" w:line="315" w:lineRule="atLeast"/>
              <w:jc w:val="center"/>
              <w:textAlignment w:val="center"/>
              <w:rPr>
                <w:rFonts w:ascii="Arial" w:eastAsia="Times New Roman" w:hAnsi="Arial" w:cs="Arial"/>
                <w:sz w:val="36"/>
                <w:szCs w:val="36"/>
                <w:lang w:eastAsia="el-GR"/>
              </w:rPr>
            </w:pPr>
            <w:r w:rsidRPr="0099561F">
              <w:rPr>
                <w:rFonts w:ascii="Microsoft Sans Serif" w:eastAsia="Times New Roman" w:hAnsi="Microsoft Sans Serif" w:cs="Microsoft Sans Serif"/>
                <w:color w:val="000000"/>
                <w:kern w:val="24"/>
                <w:sz w:val="20"/>
                <w:szCs w:val="20"/>
                <w:lang w:eastAsia="el-GR"/>
              </w:rPr>
              <w:t>11,7</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9561F" w:rsidRPr="0099561F" w:rsidRDefault="0099561F" w:rsidP="0099561F">
            <w:pPr>
              <w:spacing w:after="0" w:line="315" w:lineRule="atLeast"/>
              <w:jc w:val="center"/>
              <w:textAlignment w:val="center"/>
              <w:rPr>
                <w:rFonts w:ascii="Arial" w:eastAsia="Times New Roman" w:hAnsi="Arial" w:cs="Arial"/>
                <w:sz w:val="36"/>
                <w:szCs w:val="36"/>
                <w:lang w:eastAsia="el-GR"/>
              </w:rPr>
            </w:pPr>
            <w:r w:rsidRPr="0099561F">
              <w:rPr>
                <w:rFonts w:ascii="Microsoft Sans Serif" w:eastAsia="Times New Roman" w:hAnsi="Microsoft Sans Serif" w:cs="Microsoft Sans Serif"/>
                <w:color w:val="000000"/>
                <w:kern w:val="24"/>
                <w:sz w:val="20"/>
                <w:szCs w:val="20"/>
                <w:lang w:eastAsia="el-GR"/>
              </w:rPr>
              <w:t>8,8</w:t>
            </w:r>
          </w:p>
        </w:tc>
      </w:tr>
    </w:tbl>
    <w:tbl>
      <w:tblPr>
        <w:tblpPr w:leftFromText="180" w:rightFromText="180" w:vertAnchor="text" w:horzAnchor="page" w:tblpX="5791" w:tblpY="-1613"/>
        <w:tblW w:w="4835" w:type="dxa"/>
        <w:tblCellMar>
          <w:left w:w="0" w:type="dxa"/>
          <w:right w:w="0" w:type="dxa"/>
        </w:tblCellMar>
        <w:tblLook w:val="0600" w:firstRow="0" w:lastRow="0" w:firstColumn="0" w:lastColumn="0" w:noHBand="1" w:noVBand="1"/>
      </w:tblPr>
      <w:tblGrid>
        <w:gridCol w:w="582"/>
        <w:gridCol w:w="709"/>
        <w:gridCol w:w="709"/>
        <w:gridCol w:w="709"/>
        <w:gridCol w:w="708"/>
        <w:gridCol w:w="709"/>
        <w:gridCol w:w="709"/>
      </w:tblGrid>
      <w:tr w:rsidR="0099561F" w:rsidRPr="0099561F" w:rsidTr="0099561F">
        <w:trPr>
          <w:trHeight w:val="525"/>
        </w:trPr>
        <w:tc>
          <w:tcPr>
            <w:tcW w:w="58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9561F" w:rsidRPr="0099561F" w:rsidRDefault="0099561F" w:rsidP="0099561F">
            <w:pPr>
              <w:spacing w:after="0" w:line="240" w:lineRule="auto"/>
              <w:jc w:val="center"/>
              <w:textAlignment w:val="center"/>
              <w:rPr>
                <w:rFonts w:ascii="Arial" w:eastAsia="Times New Roman" w:hAnsi="Arial" w:cs="Arial"/>
                <w:sz w:val="36"/>
                <w:szCs w:val="36"/>
                <w:lang w:eastAsia="el-GR"/>
              </w:rPr>
            </w:pPr>
            <w:r w:rsidRPr="0099561F">
              <w:rPr>
                <w:rFonts w:ascii="Microsoft Sans Serif" w:eastAsia="Times New Roman" w:hAnsi="Microsoft Sans Serif" w:cs="Microsoft Sans Serif"/>
                <w:color w:val="000000"/>
                <w:kern w:val="24"/>
                <w:sz w:val="18"/>
                <w:szCs w:val="18"/>
                <w:lang w:eastAsia="el-GR"/>
              </w:rPr>
              <w:t>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9561F" w:rsidRPr="0099561F" w:rsidRDefault="0099561F" w:rsidP="0099561F">
            <w:pPr>
              <w:spacing w:after="0" w:line="240" w:lineRule="auto"/>
              <w:jc w:val="center"/>
              <w:textAlignment w:val="center"/>
              <w:rPr>
                <w:rFonts w:ascii="Arial" w:eastAsia="Times New Roman" w:hAnsi="Arial" w:cs="Arial"/>
                <w:sz w:val="36"/>
                <w:szCs w:val="36"/>
                <w:lang w:eastAsia="el-GR"/>
              </w:rPr>
            </w:pPr>
            <w:r w:rsidRPr="0099561F">
              <w:rPr>
                <w:rFonts w:ascii="Microsoft Sans Serif" w:eastAsia="Times New Roman" w:hAnsi="Microsoft Sans Serif" w:cs="Microsoft Sans Serif"/>
                <w:color w:val="000000"/>
                <w:kern w:val="24"/>
                <w:sz w:val="18"/>
                <w:szCs w:val="18"/>
                <w:lang w:eastAsia="el-GR"/>
              </w:rPr>
              <w:t xml:space="preserve">Ιουλ. </w:t>
            </w:r>
          </w:p>
          <w:p w:rsidR="0099561F" w:rsidRPr="0099561F" w:rsidRDefault="0099561F" w:rsidP="0099561F">
            <w:pPr>
              <w:spacing w:after="0" w:line="240" w:lineRule="auto"/>
              <w:jc w:val="center"/>
              <w:textAlignment w:val="center"/>
              <w:rPr>
                <w:rFonts w:ascii="Arial" w:eastAsia="Times New Roman" w:hAnsi="Arial" w:cs="Arial"/>
                <w:sz w:val="36"/>
                <w:szCs w:val="36"/>
                <w:lang w:eastAsia="el-GR"/>
              </w:rPr>
            </w:pPr>
            <w:r w:rsidRPr="0099561F">
              <w:rPr>
                <w:rFonts w:ascii="Microsoft Sans Serif" w:eastAsia="Times New Roman" w:hAnsi="Microsoft Sans Serif" w:cs="Microsoft Sans Serif"/>
                <w:color w:val="000000"/>
                <w:kern w:val="24"/>
                <w:sz w:val="18"/>
                <w:szCs w:val="18"/>
                <w:lang w:eastAsia="el-GR"/>
              </w:rPr>
              <w:t>2016</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9561F" w:rsidRPr="0099561F" w:rsidRDefault="0099561F" w:rsidP="0099561F">
            <w:pPr>
              <w:spacing w:after="0" w:line="240" w:lineRule="auto"/>
              <w:jc w:val="center"/>
              <w:textAlignment w:val="center"/>
              <w:rPr>
                <w:rFonts w:ascii="Arial" w:eastAsia="Times New Roman" w:hAnsi="Arial" w:cs="Arial"/>
                <w:sz w:val="36"/>
                <w:szCs w:val="36"/>
                <w:lang w:eastAsia="el-GR"/>
              </w:rPr>
            </w:pPr>
            <w:r w:rsidRPr="0099561F">
              <w:rPr>
                <w:rFonts w:ascii="Microsoft Sans Serif" w:eastAsia="Times New Roman" w:hAnsi="Microsoft Sans Serif" w:cs="Microsoft Sans Serif"/>
                <w:color w:val="000000"/>
                <w:kern w:val="24"/>
                <w:sz w:val="18"/>
                <w:szCs w:val="18"/>
                <w:lang w:eastAsia="el-GR"/>
              </w:rPr>
              <w:t>Φεβρ. 2017</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9561F" w:rsidRPr="0099561F" w:rsidRDefault="0099561F" w:rsidP="0099561F">
            <w:pPr>
              <w:spacing w:after="0" w:line="240" w:lineRule="auto"/>
              <w:jc w:val="center"/>
              <w:textAlignment w:val="center"/>
              <w:rPr>
                <w:rFonts w:ascii="Arial" w:eastAsia="Times New Roman" w:hAnsi="Arial" w:cs="Arial"/>
                <w:sz w:val="36"/>
                <w:szCs w:val="36"/>
                <w:lang w:eastAsia="el-GR"/>
              </w:rPr>
            </w:pPr>
            <w:r w:rsidRPr="0099561F">
              <w:rPr>
                <w:rFonts w:ascii="Microsoft Sans Serif" w:eastAsia="Times New Roman" w:hAnsi="Microsoft Sans Serif" w:cs="Microsoft Sans Serif"/>
                <w:color w:val="000000"/>
                <w:kern w:val="24"/>
                <w:sz w:val="18"/>
                <w:szCs w:val="18"/>
                <w:lang w:eastAsia="el-GR"/>
              </w:rPr>
              <w:t xml:space="preserve">Ιουλ. </w:t>
            </w:r>
          </w:p>
          <w:p w:rsidR="0099561F" w:rsidRPr="0099561F" w:rsidRDefault="0099561F" w:rsidP="0099561F">
            <w:pPr>
              <w:spacing w:after="0" w:line="240" w:lineRule="auto"/>
              <w:jc w:val="center"/>
              <w:textAlignment w:val="center"/>
              <w:rPr>
                <w:rFonts w:ascii="Arial" w:eastAsia="Times New Roman" w:hAnsi="Arial" w:cs="Arial"/>
                <w:sz w:val="36"/>
                <w:szCs w:val="36"/>
                <w:lang w:eastAsia="el-GR"/>
              </w:rPr>
            </w:pPr>
            <w:r w:rsidRPr="0099561F">
              <w:rPr>
                <w:rFonts w:ascii="Microsoft Sans Serif" w:eastAsia="Times New Roman" w:hAnsi="Microsoft Sans Serif" w:cs="Microsoft Sans Serif"/>
                <w:color w:val="000000"/>
                <w:kern w:val="24"/>
                <w:sz w:val="18"/>
                <w:szCs w:val="18"/>
                <w:lang w:eastAsia="el-GR"/>
              </w:rPr>
              <w:t>2017</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9561F" w:rsidRPr="0099561F" w:rsidRDefault="0099561F" w:rsidP="0099561F">
            <w:pPr>
              <w:spacing w:after="0" w:line="240" w:lineRule="auto"/>
              <w:jc w:val="center"/>
              <w:textAlignment w:val="center"/>
              <w:rPr>
                <w:rFonts w:ascii="Arial" w:eastAsia="Times New Roman" w:hAnsi="Arial" w:cs="Arial"/>
                <w:sz w:val="36"/>
                <w:szCs w:val="36"/>
                <w:lang w:eastAsia="el-GR"/>
              </w:rPr>
            </w:pPr>
            <w:r w:rsidRPr="0099561F">
              <w:rPr>
                <w:rFonts w:ascii="Microsoft Sans Serif" w:eastAsia="Times New Roman" w:hAnsi="Microsoft Sans Serif" w:cs="Microsoft Sans Serif"/>
                <w:color w:val="000000"/>
                <w:kern w:val="24"/>
                <w:sz w:val="18"/>
                <w:szCs w:val="18"/>
                <w:lang w:eastAsia="el-GR"/>
              </w:rPr>
              <w:t xml:space="preserve">Φεβρ. </w:t>
            </w:r>
          </w:p>
          <w:p w:rsidR="0099561F" w:rsidRPr="0099561F" w:rsidRDefault="0099561F" w:rsidP="0099561F">
            <w:pPr>
              <w:spacing w:after="0" w:line="240" w:lineRule="auto"/>
              <w:jc w:val="center"/>
              <w:textAlignment w:val="center"/>
              <w:rPr>
                <w:rFonts w:ascii="Arial" w:eastAsia="Times New Roman" w:hAnsi="Arial" w:cs="Arial"/>
                <w:sz w:val="36"/>
                <w:szCs w:val="36"/>
                <w:lang w:eastAsia="el-GR"/>
              </w:rPr>
            </w:pPr>
            <w:r w:rsidRPr="0099561F">
              <w:rPr>
                <w:rFonts w:ascii="Microsoft Sans Serif" w:eastAsia="Times New Roman" w:hAnsi="Microsoft Sans Serif" w:cs="Microsoft Sans Serif"/>
                <w:color w:val="000000"/>
                <w:kern w:val="24"/>
                <w:sz w:val="18"/>
                <w:szCs w:val="18"/>
                <w:lang w:eastAsia="el-GR"/>
              </w:rPr>
              <w:t>2018</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9561F" w:rsidRPr="0099561F" w:rsidRDefault="0099561F" w:rsidP="0099561F">
            <w:pPr>
              <w:spacing w:after="0" w:line="240" w:lineRule="auto"/>
              <w:jc w:val="center"/>
              <w:textAlignment w:val="center"/>
              <w:rPr>
                <w:rFonts w:ascii="Arial" w:eastAsia="Times New Roman" w:hAnsi="Arial" w:cs="Arial"/>
                <w:sz w:val="36"/>
                <w:szCs w:val="36"/>
                <w:lang w:eastAsia="el-GR"/>
              </w:rPr>
            </w:pPr>
            <w:r w:rsidRPr="0099561F">
              <w:rPr>
                <w:rFonts w:ascii="Microsoft Sans Serif" w:eastAsia="Times New Roman" w:hAnsi="Microsoft Sans Serif" w:cs="Microsoft Sans Serif"/>
                <w:color w:val="000000"/>
                <w:kern w:val="24"/>
                <w:sz w:val="18"/>
                <w:szCs w:val="18"/>
                <w:lang w:eastAsia="el-GR"/>
              </w:rPr>
              <w:t xml:space="preserve">Ιούλ. </w:t>
            </w:r>
          </w:p>
          <w:p w:rsidR="0099561F" w:rsidRPr="0099561F" w:rsidRDefault="0099561F" w:rsidP="0099561F">
            <w:pPr>
              <w:spacing w:after="0" w:line="240" w:lineRule="auto"/>
              <w:jc w:val="center"/>
              <w:textAlignment w:val="center"/>
              <w:rPr>
                <w:rFonts w:ascii="Arial" w:eastAsia="Times New Roman" w:hAnsi="Arial" w:cs="Arial"/>
                <w:sz w:val="36"/>
                <w:szCs w:val="36"/>
                <w:lang w:eastAsia="el-GR"/>
              </w:rPr>
            </w:pPr>
            <w:r w:rsidRPr="0099561F">
              <w:rPr>
                <w:rFonts w:ascii="Microsoft Sans Serif" w:eastAsia="Times New Roman" w:hAnsi="Microsoft Sans Serif" w:cs="Microsoft Sans Serif"/>
                <w:color w:val="000000"/>
                <w:kern w:val="24"/>
                <w:sz w:val="18"/>
                <w:szCs w:val="18"/>
                <w:lang w:eastAsia="el-GR"/>
              </w:rPr>
              <w:t>2018</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9561F" w:rsidRPr="0099561F" w:rsidRDefault="0099561F" w:rsidP="0099561F">
            <w:pPr>
              <w:spacing w:after="0" w:line="240" w:lineRule="auto"/>
              <w:jc w:val="center"/>
              <w:textAlignment w:val="center"/>
              <w:rPr>
                <w:rFonts w:ascii="Arial" w:eastAsia="Times New Roman" w:hAnsi="Arial" w:cs="Arial"/>
                <w:sz w:val="36"/>
                <w:szCs w:val="36"/>
                <w:lang w:eastAsia="el-GR"/>
              </w:rPr>
            </w:pPr>
            <w:r w:rsidRPr="0099561F">
              <w:rPr>
                <w:rFonts w:ascii="Microsoft Sans Serif" w:eastAsia="Times New Roman" w:hAnsi="Microsoft Sans Serif" w:cs="Microsoft Sans Serif"/>
                <w:color w:val="000000"/>
                <w:kern w:val="24"/>
                <w:sz w:val="18"/>
                <w:szCs w:val="18"/>
                <w:lang w:eastAsia="el-GR"/>
              </w:rPr>
              <w:t xml:space="preserve">Φεβρ. </w:t>
            </w:r>
          </w:p>
          <w:p w:rsidR="0099561F" w:rsidRPr="0099561F" w:rsidRDefault="0099561F" w:rsidP="0099561F">
            <w:pPr>
              <w:spacing w:after="0" w:line="240" w:lineRule="auto"/>
              <w:jc w:val="center"/>
              <w:textAlignment w:val="center"/>
              <w:rPr>
                <w:rFonts w:ascii="Arial" w:eastAsia="Times New Roman" w:hAnsi="Arial" w:cs="Arial"/>
                <w:sz w:val="36"/>
                <w:szCs w:val="36"/>
                <w:lang w:eastAsia="el-GR"/>
              </w:rPr>
            </w:pPr>
            <w:r w:rsidRPr="0099561F">
              <w:rPr>
                <w:rFonts w:ascii="Microsoft Sans Serif" w:eastAsia="Times New Roman" w:hAnsi="Microsoft Sans Serif" w:cs="Microsoft Sans Serif"/>
                <w:color w:val="000000"/>
                <w:kern w:val="24"/>
                <w:sz w:val="18"/>
                <w:szCs w:val="18"/>
                <w:lang w:eastAsia="el-GR"/>
              </w:rPr>
              <w:t>2019</w:t>
            </w:r>
          </w:p>
        </w:tc>
      </w:tr>
      <w:tr w:rsidR="0099561F" w:rsidRPr="0099561F" w:rsidTr="0099561F">
        <w:trPr>
          <w:trHeight w:val="315"/>
        </w:trPr>
        <w:tc>
          <w:tcPr>
            <w:tcW w:w="58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9561F" w:rsidRPr="0099561F" w:rsidRDefault="0099561F" w:rsidP="0099561F">
            <w:pPr>
              <w:spacing w:after="0" w:line="315" w:lineRule="atLeast"/>
              <w:textAlignment w:val="center"/>
              <w:rPr>
                <w:rFonts w:ascii="Arial" w:eastAsia="Times New Roman" w:hAnsi="Arial" w:cs="Arial"/>
                <w:sz w:val="36"/>
                <w:szCs w:val="36"/>
                <w:lang w:eastAsia="el-GR"/>
              </w:rPr>
            </w:pPr>
            <w:r w:rsidRPr="0099561F">
              <w:rPr>
                <w:rFonts w:ascii="Microsoft Sans Serif" w:eastAsia="Times New Roman" w:hAnsi="Microsoft Sans Serif" w:cs="Microsoft Sans Serif"/>
                <w:color w:val="000000"/>
                <w:kern w:val="24"/>
                <w:sz w:val="20"/>
                <w:szCs w:val="20"/>
                <w:lang w:eastAsia="el-GR"/>
              </w:rPr>
              <w:t>Ναι</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9561F" w:rsidRPr="0099561F" w:rsidRDefault="0099561F" w:rsidP="0099561F">
            <w:pPr>
              <w:spacing w:after="0" w:line="315" w:lineRule="atLeast"/>
              <w:jc w:val="center"/>
              <w:textAlignment w:val="center"/>
              <w:rPr>
                <w:rFonts w:ascii="Arial" w:eastAsia="Times New Roman" w:hAnsi="Arial" w:cs="Arial"/>
                <w:sz w:val="36"/>
                <w:szCs w:val="36"/>
                <w:lang w:eastAsia="el-GR"/>
              </w:rPr>
            </w:pPr>
            <w:r w:rsidRPr="0099561F">
              <w:rPr>
                <w:rFonts w:ascii="Microsoft Sans Serif" w:eastAsia="Times New Roman" w:hAnsi="Microsoft Sans Serif" w:cs="Microsoft Sans Serif"/>
                <w:color w:val="000000"/>
                <w:kern w:val="24"/>
                <w:sz w:val="20"/>
                <w:szCs w:val="20"/>
                <w:lang w:eastAsia="el-GR"/>
              </w:rPr>
              <w:t>55,4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9561F" w:rsidRPr="0099561F" w:rsidRDefault="0099561F" w:rsidP="0099561F">
            <w:pPr>
              <w:spacing w:after="0" w:line="315" w:lineRule="atLeast"/>
              <w:jc w:val="center"/>
              <w:textAlignment w:val="center"/>
              <w:rPr>
                <w:rFonts w:ascii="Arial" w:eastAsia="Times New Roman" w:hAnsi="Arial" w:cs="Arial"/>
                <w:sz w:val="36"/>
                <w:szCs w:val="36"/>
                <w:lang w:eastAsia="el-GR"/>
              </w:rPr>
            </w:pPr>
            <w:r w:rsidRPr="0099561F">
              <w:rPr>
                <w:rFonts w:ascii="Microsoft Sans Serif" w:eastAsia="Times New Roman" w:hAnsi="Microsoft Sans Serif" w:cs="Microsoft Sans Serif"/>
                <w:color w:val="000000"/>
                <w:kern w:val="24"/>
                <w:sz w:val="20"/>
                <w:szCs w:val="20"/>
                <w:lang w:eastAsia="el-GR"/>
              </w:rPr>
              <w:t>54,7</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9561F" w:rsidRPr="0099561F" w:rsidRDefault="0099561F" w:rsidP="0099561F">
            <w:pPr>
              <w:spacing w:after="0" w:line="315" w:lineRule="atLeast"/>
              <w:jc w:val="center"/>
              <w:textAlignment w:val="center"/>
              <w:rPr>
                <w:rFonts w:ascii="Arial" w:eastAsia="Times New Roman" w:hAnsi="Arial" w:cs="Arial"/>
                <w:sz w:val="36"/>
                <w:szCs w:val="36"/>
                <w:lang w:eastAsia="el-GR"/>
              </w:rPr>
            </w:pPr>
            <w:r w:rsidRPr="0099561F">
              <w:rPr>
                <w:rFonts w:ascii="Microsoft Sans Serif" w:eastAsia="Times New Roman" w:hAnsi="Microsoft Sans Serif" w:cs="Microsoft Sans Serif"/>
                <w:color w:val="000000"/>
                <w:kern w:val="24"/>
                <w:sz w:val="20"/>
                <w:szCs w:val="20"/>
                <w:lang w:eastAsia="el-GR"/>
              </w:rPr>
              <w:t>64,2</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9561F" w:rsidRPr="0099561F" w:rsidRDefault="0099561F" w:rsidP="0099561F">
            <w:pPr>
              <w:spacing w:after="0" w:line="315" w:lineRule="atLeast"/>
              <w:jc w:val="center"/>
              <w:textAlignment w:val="center"/>
              <w:rPr>
                <w:rFonts w:ascii="Arial" w:eastAsia="Times New Roman" w:hAnsi="Arial" w:cs="Arial"/>
                <w:sz w:val="36"/>
                <w:szCs w:val="36"/>
                <w:lang w:eastAsia="el-GR"/>
              </w:rPr>
            </w:pPr>
            <w:r w:rsidRPr="0099561F">
              <w:rPr>
                <w:rFonts w:ascii="Microsoft Sans Serif" w:eastAsia="Times New Roman" w:hAnsi="Microsoft Sans Serif" w:cs="Microsoft Sans Serif"/>
                <w:color w:val="000000"/>
                <w:kern w:val="24"/>
                <w:sz w:val="20"/>
                <w:szCs w:val="20"/>
                <w:lang w:eastAsia="el-GR"/>
              </w:rPr>
              <w:t>68,2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9561F" w:rsidRPr="0099561F" w:rsidRDefault="0099561F" w:rsidP="0099561F">
            <w:pPr>
              <w:spacing w:after="0" w:line="315" w:lineRule="atLeast"/>
              <w:jc w:val="center"/>
              <w:textAlignment w:val="center"/>
              <w:rPr>
                <w:rFonts w:ascii="Arial" w:eastAsia="Times New Roman" w:hAnsi="Arial" w:cs="Arial"/>
                <w:sz w:val="36"/>
                <w:szCs w:val="36"/>
                <w:lang w:eastAsia="el-GR"/>
              </w:rPr>
            </w:pPr>
            <w:r w:rsidRPr="0099561F">
              <w:rPr>
                <w:rFonts w:ascii="Microsoft Sans Serif" w:eastAsia="Times New Roman" w:hAnsi="Microsoft Sans Serif" w:cs="Microsoft Sans Serif"/>
                <w:color w:val="000000"/>
                <w:kern w:val="24"/>
                <w:sz w:val="20"/>
                <w:szCs w:val="20"/>
                <w:lang w:eastAsia="el-GR"/>
              </w:rPr>
              <w:t>71,1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9561F" w:rsidRPr="0099561F" w:rsidRDefault="0099561F" w:rsidP="0099561F">
            <w:pPr>
              <w:spacing w:after="0" w:line="315" w:lineRule="atLeast"/>
              <w:jc w:val="center"/>
              <w:textAlignment w:val="center"/>
              <w:rPr>
                <w:rFonts w:ascii="Arial" w:eastAsia="Times New Roman" w:hAnsi="Arial" w:cs="Arial"/>
                <w:sz w:val="36"/>
                <w:szCs w:val="36"/>
                <w:lang w:eastAsia="el-GR"/>
              </w:rPr>
            </w:pPr>
            <w:r w:rsidRPr="0099561F">
              <w:rPr>
                <w:rFonts w:ascii="Microsoft Sans Serif" w:eastAsia="Times New Roman" w:hAnsi="Microsoft Sans Serif" w:cs="Microsoft Sans Serif"/>
                <w:color w:val="000000"/>
                <w:kern w:val="24"/>
                <w:sz w:val="20"/>
                <w:szCs w:val="20"/>
                <w:lang w:eastAsia="el-GR"/>
              </w:rPr>
              <w:t>75,1</w:t>
            </w:r>
          </w:p>
        </w:tc>
      </w:tr>
      <w:tr w:rsidR="0099561F" w:rsidRPr="0099561F" w:rsidTr="0099561F">
        <w:trPr>
          <w:trHeight w:val="315"/>
        </w:trPr>
        <w:tc>
          <w:tcPr>
            <w:tcW w:w="58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9561F" w:rsidRPr="0099561F" w:rsidRDefault="0099561F" w:rsidP="0099561F">
            <w:pPr>
              <w:spacing w:after="0" w:line="315" w:lineRule="atLeast"/>
              <w:textAlignment w:val="center"/>
              <w:rPr>
                <w:rFonts w:ascii="Arial" w:eastAsia="Times New Roman" w:hAnsi="Arial" w:cs="Arial"/>
                <w:sz w:val="36"/>
                <w:szCs w:val="36"/>
                <w:lang w:eastAsia="el-GR"/>
              </w:rPr>
            </w:pPr>
            <w:r w:rsidRPr="0099561F">
              <w:rPr>
                <w:rFonts w:ascii="Microsoft Sans Serif" w:eastAsia="Times New Roman" w:hAnsi="Microsoft Sans Serif" w:cs="Microsoft Sans Serif"/>
                <w:color w:val="000000"/>
                <w:kern w:val="24"/>
                <w:sz w:val="20"/>
                <w:szCs w:val="20"/>
                <w:lang w:eastAsia="el-GR"/>
              </w:rPr>
              <w:t>Όχι</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9561F" w:rsidRPr="0099561F" w:rsidRDefault="0099561F" w:rsidP="0099561F">
            <w:pPr>
              <w:spacing w:after="0" w:line="315" w:lineRule="atLeast"/>
              <w:jc w:val="center"/>
              <w:textAlignment w:val="center"/>
              <w:rPr>
                <w:rFonts w:ascii="Arial" w:eastAsia="Times New Roman" w:hAnsi="Arial" w:cs="Arial"/>
                <w:sz w:val="36"/>
                <w:szCs w:val="36"/>
                <w:lang w:eastAsia="el-GR"/>
              </w:rPr>
            </w:pPr>
            <w:r w:rsidRPr="0099561F">
              <w:rPr>
                <w:rFonts w:ascii="Microsoft Sans Serif" w:eastAsia="Times New Roman" w:hAnsi="Microsoft Sans Serif" w:cs="Microsoft Sans Serif"/>
                <w:color w:val="000000"/>
                <w:kern w:val="24"/>
                <w:sz w:val="20"/>
                <w:szCs w:val="20"/>
                <w:lang w:eastAsia="el-GR"/>
              </w:rPr>
              <w:t>31,6</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9561F" w:rsidRPr="0099561F" w:rsidRDefault="0099561F" w:rsidP="0099561F">
            <w:pPr>
              <w:spacing w:after="0" w:line="315" w:lineRule="atLeast"/>
              <w:jc w:val="center"/>
              <w:textAlignment w:val="center"/>
              <w:rPr>
                <w:rFonts w:ascii="Arial" w:eastAsia="Times New Roman" w:hAnsi="Arial" w:cs="Arial"/>
                <w:sz w:val="36"/>
                <w:szCs w:val="36"/>
                <w:lang w:eastAsia="el-GR"/>
              </w:rPr>
            </w:pPr>
            <w:r w:rsidRPr="0099561F">
              <w:rPr>
                <w:rFonts w:ascii="Microsoft Sans Serif" w:eastAsia="Times New Roman" w:hAnsi="Microsoft Sans Serif" w:cs="Microsoft Sans Serif"/>
                <w:color w:val="000000"/>
                <w:kern w:val="24"/>
                <w:sz w:val="20"/>
                <w:szCs w:val="20"/>
                <w:lang w:eastAsia="el-GR"/>
              </w:rPr>
              <w:t>30,5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9561F" w:rsidRPr="0099561F" w:rsidRDefault="0099561F" w:rsidP="0099561F">
            <w:pPr>
              <w:spacing w:after="0" w:line="315" w:lineRule="atLeast"/>
              <w:jc w:val="center"/>
              <w:textAlignment w:val="center"/>
              <w:rPr>
                <w:rFonts w:ascii="Arial" w:eastAsia="Times New Roman" w:hAnsi="Arial" w:cs="Arial"/>
                <w:sz w:val="36"/>
                <w:szCs w:val="36"/>
                <w:lang w:eastAsia="el-GR"/>
              </w:rPr>
            </w:pPr>
            <w:r w:rsidRPr="0099561F">
              <w:rPr>
                <w:rFonts w:ascii="Microsoft Sans Serif" w:eastAsia="Times New Roman" w:hAnsi="Microsoft Sans Serif" w:cs="Microsoft Sans Serif"/>
                <w:color w:val="000000"/>
                <w:kern w:val="24"/>
                <w:sz w:val="20"/>
                <w:szCs w:val="20"/>
                <w:lang w:eastAsia="el-GR"/>
              </w:rPr>
              <w:t>23,2</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9561F" w:rsidRPr="0099561F" w:rsidRDefault="0099561F" w:rsidP="0099561F">
            <w:pPr>
              <w:spacing w:after="0" w:line="315" w:lineRule="atLeast"/>
              <w:jc w:val="center"/>
              <w:textAlignment w:val="center"/>
              <w:rPr>
                <w:rFonts w:ascii="Arial" w:eastAsia="Times New Roman" w:hAnsi="Arial" w:cs="Arial"/>
                <w:sz w:val="36"/>
                <w:szCs w:val="36"/>
                <w:lang w:eastAsia="el-GR"/>
              </w:rPr>
            </w:pPr>
            <w:r w:rsidRPr="0099561F">
              <w:rPr>
                <w:rFonts w:ascii="Microsoft Sans Serif" w:eastAsia="Times New Roman" w:hAnsi="Microsoft Sans Serif" w:cs="Microsoft Sans Serif"/>
                <w:color w:val="000000"/>
                <w:kern w:val="24"/>
                <w:sz w:val="20"/>
                <w:szCs w:val="20"/>
                <w:lang w:eastAsia="el-GR"/>
              </w:rPr>
              <w:t>18,8</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9561F" w:rsidRPr="0099561F" w:rsidRDefault="0099561F" w:rsidP="0099561F">
            <w:pPr>
              <w:spacing w:after="0" w:line="315" w:lineRule="atLeast"/>
              <w:jc w:val="center"/>
              <w:textAlignment w:val="center"/>
              <w:rPr>
                <w:rFonts w:ascii="Arial" w:eastAsia="Times New Roman" w:hAnsi="Arial" w:cs="Arial"/>
                <w:sz w:val="36"/>
                <w:szCs w:val="36"/>
                <w:lang w:eastAsia="el-GR"/>
              </w:rPr>
            </w:pPr>
            <w:r w:rsidRPr="0099561F">
              <w:rPr>
                <w:rFonts w:ascii="Microsoft Sans Serif" w:eastAsia="Times New Roman" w:hAnsi="Microsoft Sans Serif" w:cs="Microsoft Sans Serif"/>
                <w:color w:val="000000"/>
                <w:kern w:val="24"/>
                <w:sz w:val="20"/>
                <w:szCs w:val="20"/>
                <w:lang w:eastAsia="el-GR"/>
              </w:rPr>
              <w:t>18,6</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9561F" w:rsidRPr="0099561F" w:rsidRDefault="0099561F" w:rsidP="0099561F">
            <w:pPr>
              <w:spacing w:after="0" w:line="315" w:lineRule="atLeast"/>
              <w:jc w:val="center"/>
              <w:textAlignment w:val="center"/>
              <w:rPr>
                <w:rFonts w:ascii="Arial" w:eastAsia="Times New Roman" w:hAnsi="Arial" w:cs="Arial"/>
                <w:sz w:val="36"/>
                <w:szCs w:val="36"/>
                <w:lang w:eastAsia="el-GR"/>
              </w:rPr>
            </w:pPr>
            <w:r w:rsidRPr="0099561F">
              <w:rPr>
                <w:rFonts w:ascii="Microsoft Sans Serif" w:eastAsia="Times New Roman" w:hAnsi="Microsoft Sans Serif" w:cs="Microsoft Sans Serif"/>
                <w:color w:val="000000"/>
                <w:kern w:val="24"/>
                <w:sz w:val="20"/>
                <w:szCs w:val="20"/>
                <w:lang w:eastAsia="el-GR"/>
              </w:rPr>
              <w:t>17,2</w:t>
            </w:r>
          </w:p>
        </w:tc>
      </w:tr>
      <w:tr w:rsidR="0099561F" w:rsidRPr="0099561F" w:rsidTr="0099561F">
        <w:trPr>
          <w:trHeight w:val="315"/>
        </w:trPr>
        <w:tc>
          <w:tcPr>
            <w:tcW w:w="58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9561F" w:rsidRPr="0099561F" w:rsidRDefault="0099561F" w:rsidP="0099561F">
            <w:pPr>
              <w:spacing w:after="0" w:line="315" w:lineRule="atLeast"/>
              <w:textAlignment w:val="center"/>
              <w:rPr>
                <w:rFonts w:ascii="Arial" w:eastAsia="Times New Roman" w:hAnsi="Arial" w:cs="Arial"/>
                <w:sz w:val="36"/>
                <w:szCs w:val="36"/>
                <w:lang w:eastAsia="el-GR"/>
              </w:rPr>
            </w:pPr>
            <w:r w:rsidRPr="0099561F">
              <w:rPr>
                <w:rFonts w:ascii="Microsoft Sans Serif" w:eastAsia="Times New Roman" w:hAnsi="Microsoft Sans Serif" w:cs="Microsoft Sans Serif"/>
                <w:color w:val="000000"/>
                <w:kern w:val="24"/>
                <w:sz w:val="20"/>
                <w:szCs w:val="20"/>
                <w:lang w:eastAsia="el-GR"/>
              </w:rPr>
              <w:t xml:space="preserve">ΔΑ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9561F" w:rsidRPr="0099561F" w:rsidRDefault="0099561F" w:rsidP="0099561F">
            <w:pPr>
              <w:spacing w:after="0" w:line="315" w:lineRule="atLeast"/>
              <w:jc w:val="center"/>
              <w:textAlignment w:val="center"/>
              <w:rPr>
                <w:rFonts w:ascii="Arial" w:eastAsia="Times New Roman" w:hAnsi="Arial" w:cs="Arial"/>
                <w:sz w:val="36"/>
                <w:szCs w:val="36"/>
                <w:lang w:eastAsia="el-GR"/>
              </w:rPr>
            </w:pPr>
            <w:r w:rsidRPr="0099561F">
              <w:rPr>
                <w:rFonts w:ascii="Microsoft Sans Serif" w:eastAsia="Times New Roman" w:hAnsi="Microsoft Sans Serif" w:cs="Microsoft Sans Serif"/>
                <w:color w:val="000000"/>
                <w:kern w:val="24"/>
                <w:sz w:val="20"/>
                <w:szCs w:val="20"/>
                <w:lang w:eastAsia="el-GR"/>
              </w:rPr>
              <w:t>13,1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9561F" w:rsidRPr="0099561F" w:rsidRDefault="0099561F" w:rsidP="0099561F">
            <w:pPr>
              <w:spacing w:after="0" w:line="315" w:lineRule="atLeast"/>
              <w:jc w:val="center"/>
              <w:textAlignment w:val="center"/>
              <w:rPr>
                <w:rFonts w:ascii="Arial" w:eastAsia="Times New Roman" w:hAnsi="Arial" w:cs="Arial"/>
                <w:sz w:val="36"/>
                <w:szCs w:val="36"/>
                <w:lang w:eastAsia="el-GR"/>
              </w:rPr>
            </w:pPr>
            <w:r w:rsidRPr="0099561F">
              <w:rPr>
                <w:rFonts w:ascii="Microsoft Sans Serif" w:eastAsia="Times New Roman" w:hAnsi="Microsoft Sans Serif" w:cs="Microsoft Sans Serif"/>
                <w:color w:val="000000"/>
                <w:kern w:val="24"/>
                <w:sz w:val="20"/>
                <w:szCs w:val="20"/>
                <w:lang w:eastAsia="el-GR"/>
              </w:rPr>
              <w:t>14,8</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9561F" w:rsidRPr="0099561F" w:rsidRDefault="0099561F" w:rsidP="0099561F">
            <w:pPr>
              <w:spacing w:after="0" w:line="315" w:lineRule="atLeast"/>
              <w:jc w:val="center"/>
              <w:textAlignment w:val="center"/>
              <w:rPr>
                <w:rFonts w:ascii="Arial" w:eastAsia="Times New Roman" w:hAnsi="Arial" w:cs="Arial"/>
                <w:sz w:val="36"/>
                <w:szCs w:val="36"/>
                <w:lang w:eastAsia="el-GR"/>
              </w:rPr>
            </w:pPr>
            <w:r w:rsidRPr="0099561F">
              <w:rPr>
                <w:rFonts w:ascii="Microsoft Sans Serif" w:eastAsia="Times New Roman" w:hAnsi="Microsoft Sans Serif" w:cs="Microsoft Sans Serif"/>
                <w:color w:val="000000"/>
                <w:kern w:val="24"/>
                <w:sz w:val="20"/>
                <w:szCs w:val="20"/>
                <w:lang w:eastAsia="el-GR"/>
              </w:rPr>
              <w:t>12,6</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9561F" w:rsidRPr="0099561F" w:rsidRDefault="0099561F" w:rsidP="0099561F">
            <w:pPr>
              <w:spacing w:after="0" w:line="315" w:lineRule="atLeast"/>
              <w:jc w:val="center"/>
              <w:textAlignment w:val="center"/>
              <w:rPr>
                <w:rFonts w:ascii="Arial" w:eastAsia="Times New Roman" w:hAnsi="Arial" w:cs="Arial"/>
                <w:sz w:val="36"/>
                <w:szCs w:val="36"/>
                <w:lang w:eastAsia="el-GR"/>
              </w:rPr>
            </w:pPr>
            <w:r w:rsidRPr="0099561F">
              <w:rPr>
                <w:rFonts w:ascii="Microsoft Sans Serif" w:eastAsia="Times New Roman" w:hAnsi="Microsoft Sans Serif" w:cs="Microsoft Sans Serif"/>
                <w:color w:val="000000"/>
                <w:kern w:val="24"/>
                <w:sz w:val="20"/>
                <w:szCs w:val="20"/>
                <w:lang w:eastAsia="el-GR"/>
              </w:rPr>
              <w:t>13,0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9561F" w:rsidRPr="0099561F" w:rsidRDefault="0099561F" w:rsidP="0099561F">
            <w:pPr>
              <w:spacing w:after="0" w:line="315" w:lineRule="atLeast"/>
              <w:jc w:val="center"/>
              <w:textAlignment w:val="center"/>
              <w:rPr>
                <w:rFonts w:ascii="Arial" w:eastAsia="Times New Roman" w:hAnsi="Arial" w:cs="Arial"/>
                <w:sz w:val="36"/>
                <w:szCs w:val="36"/>
                <w:lang w:eastAsia="el-GR"/>
              </w:rPr>
            </w:pPr>
            <w:r w:rsidRPr="0099561F">
              <w:rPr>
                <w:rFonts w:ascii="Microsoft Sans Serif" w:eastAsia="Times New Roman" w:hAnsi="Microsoft Sans Serif" w:cs="Microsoft Sans Serif"/>
                <w:color w:val="000000"/>
                <w:kern w:val="24"/>
                <w:sz w:val="20"/>
                <w:szCs w:val="20"/>
                <w:lang w:eastAsia="el-GR"/>
              </w:rPr>
              <w:t>10,3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9561F" w:rsidRPr="0099561F" w:rsidRDefault="0099561F" w:rsidP="0099561F">
            <w:pPr>
              <w:spacing w:after="0" w:line="315" w:lineRule="atLeast"/>
              <w:jc w:val="center"/>
              <w:textAlignment w:val="center"/>
              <w:rPr>
                <w:rFonts w:ascii="Arial" w:eastAsia="Times New Roman" w:hAnsi="Arial" w:cs="Arial"/>
                <w:sz w:val="36"/>
                <w:szCs w:val="36"/>
                <w:lang w:eastAsia="el-GR"/>
              </w:rPr>
            </w:pPr>
            <w:r w:rsidRPr="0099561F">
              <w:rPr>
                <w:rFonts w:ascii="Microsoft Sans Serif" w:eastAsia="Times New Roman" w:hAnsi="Microsoft Sans Serif" w:cs="Microsoft Sans Serif"/>
                <w:color w:val="000000"/>
                <w:kern w:val="24"/>
                <w:sz w:val="20"/>
                <w:szCs w:val="20"/>
                <w:lang w:eastAsia="el-GR"/>
              </w:rPr>
              <w:t>7,7</w:t>
            </w:r>
          </w:p>
        </w:tc>
      </w:tr>
    </w:tbl>
    <w:p w:rsidR="0099561F" w:rsidRDefault="0099561F" w:rsidP="002C7FEA">
      <w:pPr>
        <w:spacing w:after="0" w:line="240" w:lineRule="auto"/>
        <w:jc w:val="both"/>
        <w:rPr>
          <w:rFonts w:ascii="Arial Narrow" w:eastAsia="Times New Roman" w:hAnsi="Arial Narrow" w:cs="Times New Roman"/>
          <w:sz w:val="24"/>
          <w:szCs w:val="24"/>
          <w:lang w:eastAsia="el-GR"/>
        </w:rPr>
      </w:pPr>
    </w:p>
    <w:p w:rsidR="0099561F" w:rsidRDefault="0099561F" w:rsidP="002C7FEA">
      <w:pPr>
        <w:spacing w:after="0" w:line="240" w:lineRule="auto"/>
        <w:jc w:val="both"/>
        <w:rPr>
          <w:rFonts w:ascii="Arial Narrow" w:eastAsia="Times New Roman" w:hAnsi="Arial Narrow" w:cs="Times New Roman"/>
          <w:sz w:val="24"/>
          <w:szCs w:val="24"/>
          <w:lang w:eastAsia="el-GR"/>
        </w:rPr>
      </w:pPr>
    </w:p>
    <w:p w:rsidR="00540700" w:rsidRPr="00540700" w:rsidRDefault="00540700" w:rsidP="00540700">
      <w:pPr>
        <w:spacing w:after="0" w:line="360" w:lineRule="auto"/>
        <w:jc w:val="both"/>
        <w:rPr>
          <w:rFonts w:ascii="Times New Roman" w:eastAsia="Times New Roman" w:hAnsi="Times New Roman" w:cs="Times New Roman"/>
          <w:sz w:val="24"/>
          <w:szCs w:val="24"/>
          <w:lang w:eastAsia="el-GR"/>
        </w:rPr>
      </w:pPr>
      <w:r w:rsidRPr="00540700">
        <w:rPr>
          <w:rFonts w:ascii="Times New Roman" w:eastAsia="Times New Roman" w:hAnsi="Times New Roman" w:cs="Times New Roman"/>
          <w:sz w:val="24"/>
          <w:szCs w:val="24"/>
          <w:lang w:eastAsia="el-GR"/>
        </w:rPr>
        <w:t>Ωστόσο θα πρέπει να σημειωθεί ότι το 14,4% των επιχειρήσεων έχει ταυτόχρονα και ασφαλιστικές και φορολογικές οφειλές. Δεδομένου ότι όπως τουλάχιστον έχει τονίσει η κυβέρνηση οι υφιστάμενες ευνοϊκές ασφαλιστικές και φορολογικές ρυθμίσεις θα είναι και οι τελευταίες θα πρέπει να επαναπροσδιοριστούν οι πάγιες ρυθμίσεις ώστε να ανταποκρίνονται περισσότερο στην πραγματικότητα. Άλλωστε τα συνολικά ληξιπρόθεσμα χρέη νοικοκυριών και επιχειρήσεων προς την εφορία, τα ασφαλιστικά ταμεία και τις τράπεζες που υπερβαίνουν τα 230 δισ. €(104 δισ. στην εφορία, 32 δισ. στο ΚΕΑΟ και 96 δισ. € στις τράπεζες), και παραμένουν σε εξαιρετικά υψηλά επίπεδα είναι αποτέλεσμα κυρίως της πολιτικής εσωτερικής υποτίμησης, δηλαδή της μείωσης των εισοδημάτων χωρίς αντίστοιχη μείωση των φορολογικών ή/και δανειακών υποχρεώσεων και θα πρέπει να αντιμετωπιστούν στην βάση αυτής της παραδοχής. Ότι δηλαδή η εκτίναξη του ιδιωτικού χρέους ήταν αποτέλεσμα κυρίως αδυναμίας πληρωμής μέσα σε ένα ιδιαίτερα περιοριστικό οικονομικό περιβάλλον.</w:t>
      </w:r>
    </w:p>
    <w:p w:rsidR="00E32517" w:rsidRPr="00540700" w:rsidRDefault="00540700" w:rsidP="00540700">
      <w:pPr>
        <w:spacing w:after="0" w:line="360" w:lineRule="auto"/>
        <w:jc w:val="both"/>
        <w:rPr>
          <w:rFonts w:ascii="Times New Roman" w:eastAsia="Times New Roman" w:hAnsi="Times New Roman" w:cs="Times New Roman"/>
          <w:sz w:val="24"/>
          <w:szCs w:val="24"/>
          <w:lang w:eastAsia="el-GR"/>
        </w:rPr>
      </w:pPr>
      <w:r w:rsidRPr="00540700">
        <w:rPr>
          <w:rFonts w:ascii="Times New Roman" w:eastAsia="Times New Roman" w:hAnsi="Times New Roman" w:cs="Times New Roman"/>
          <w:sz w:val="24"/>
          <w:szCs w:val="24"/>
          <w:lang w:eastAsia="el-GR"/>
        </w:rPr>
        <w:t>Περίπου 3 στις 10 επιχειρήσεις (28,7%) έχουν δάνεια προς τράπεζες (Γράφημα 25). Από αυτές 1 στις 2 περίπου (51,1%) έχει καθυστερημένες οφειλές, ένας δηλαδή σταθερά υψηλός αριθμός επιχειρήσεων (Γράφημα 26).</w:t>
      </w:r>
    </w:p>
    <w:p w:rsidR="00E32517" w:rsidRDefault="00E32517" w:rsidP="002C7FEA">
      <w:pPr>
        <w:spacing w:after="0" w:line="240" w:lineRule="auto"/>
        <w:jc w:val="both"/>
        <w:rPr>
          <w:rFonts w:ascii="Arial Narrow" w:eastAsia="Times New Roman" w:hAnsi="Arial Narrow" w:cs="Times New Roman"/>
          <w:sz w:val="24"/>
          <w:szCs w:val="24"/>
          <w:lang w:eastAsia="el-GR"/>
        </w:rPr>
      </w:pPr>
    </w:p>
    <w:p w:rsidR="00E32517" w:rsidRDefault="00E32517" w:rsidP="002C7FEA">
      <w:pPr>
        <w:spacing w:after="0" w:line="240" w:lineRule="auto"/>
        <w:jc w:val="both"/>
        <w:rPr>
          <w:rFonts w:ascii="Arial Narrow" w:eastAsia="Times New Roman" w:hAnsi="Arial Narrow" w:cs="Times New Roman"/>
          <w:sz w:val="24"/>
          <w:szCs w:val="24"/>
          <w:lang w:eastAsia="el-GR"/>
        </w:rPr>
      </w:pPr>
    </w:p>
    <w:p w:rsidR="00E32517" w:rsidRDefault="00E32517" w:rsidP="00E32517">
      <w:pPr>
        <w:spacing w:after="0" w:line="240" w:lineRule="auto"/>
        <w:ind w:left="720" w:firstLine="720"/>
        <w:jc w:val="both"/>
        <w:rPr>
          <w:rFonts w:ascii="Arial Narrow" w:eastAsia="Times New Roman" w:hAnsi="Arial Narrow" w:cs="Times New Roman"/>
          <w:sz w:val="24"/>
          <w:szCs w:val="24"/>
          <w:lang w:eastAsia="el-GR"/>
        </w:rPr>
      </w:pPr>
      <w:r>
        <w:rPr>
          <w:rFonts w:ascii="Arial Narrow" w:eastAsia="Times New Roman" w:hAnsi="Arial Narrow" w:cs="Times New Roman"/>
          <w:sz w:val="24"/>
          <w:szCs w:val="24"/>
          <w:lang w:eastAsia="el-GR"/>
        </w:rPr>
        <w:t xml:space="preserve">Γράφημα 25 </w:t>
      </w:r>
      <w:r>
        <w:rPr>
          <w:rFonts w:ascii="Arial Narrow" w:eastAsia="Times New Roman" w:hAnsi="Arial Narrow" w:cs="Times New Roman"/>
          <w:sz w:val="24"/>
          <w:szCs w:val="24"/>
          <w:lang w:eastAsia="el-GR"/>
        </w:rPr>
        <w:tab/>
      </w:r>
      <w:r>
        <w:rPr>
          <w:rFonts w:ascii="Arial Narrow" w:eastAsia="Times New Roman" w:hAnsi="Arial Narrow" w:cs="Times New Roman"/>
          <w:sz w:val="24"/>
          <w:szCs w:val="24"/>
          <w:lang w:eastAsia="el-GR"/>
        </w:rPr>
        <w:tab/>
      </w:r>
      <w:r>
        <w:rPr>
          <w:rFonts w:ascii="Arial Narrow" w:eastAsia="Times New Roman" w:hAnsi="Arial Narrow" w:cs="Times New Roman"/>
          <w:sz w:val="24"/>
          <w:szCs w:val="24"/>
          <w:lang w:eastAsia="el-GR"/>
        </w:rPr>
        <w:tab/>
      </w:r>
      <w:r>
        <w:rPr>
          <w:rFonts w:ascii="Arial Narrow" w:eastAsia="Times New Roman" w:hAnsi="Arial Narrow" w:cs="Times New Roman"/>
          <w:sz w:val="24"/>
          <w:szCs w:val="24"/>
          <w:lang w:eastAsia="el-GR"/>
        </w:rPr>
        <w:tab/>
      </w:r>
      <w:r>
        <w:rPr>
          <w:rFonts w:ascii="Arial Narrow" w:eastAsia="Times New Roman" w:hAnsi="Arial Narrow" w:cs="Times New Roman"/>
          <w:sz w:val="24"/>
          <w:szCs w:val="24"/>
          <w:lang w:eastAsia="el-GR"/>
        </w:rPr>
        <w:tab/>
        <w:t>Γράφημα 26</w:t>
      </w:r>
    </w:p>
    <w:p w:rsidR="00E32517" w:rsidRPr="005941FC" w:rsidRDefault="00E32517" w:rsidP="00E32517">
      <w:pPr>
        <w:spacing w:after="0" w:line="240" w:lineRule="auto"/>
        <w:jc w:val="both"/>
        <w:rPr>
          <w:rFonts w:ascii="Arial Narrow" w:eastAsia="Times New Roman" w:hAnsi="Arial Narrow" w:cs="Times New Roman"/>
          <w:sz w:val="24"/>
          <w:szCs w:val="24"/>
          <w:lang w:eastAsia="el-GR"/>
        </w:rPr>
      </w:pPr>
      <w:r w:rsidRPr="005941FC">
        <w:rPr>
          <w:rFonts w:ascii="Arial Narrow" w:eastAsia="Times New Roman" w:hAnsi="Arial Narrow" w:cs="Times New Roman"/>
          <w:noProof/>
          <w:sz w:val="24"/>
          <w:szCs w:val="24"/>
          <w:lang w:eastAsia="el-GR"/>
        </w:rPr>
        <w:drawing>
          <wp:inline distT="0" distB="0" distL="0" distR="0" wp14:anchorId="3B0A647C" wp14:editId="18BDB2EE">
            <wp:extent cx="2819400" cy="3009900"/>
            <wp:effectExtent l="0" t="0" r="19050" b="19050"/>
            <wp:docPr id="58" name="Γράφημα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r w:rsidRPr="005941FC">
        <w:rPr>
          <w:rFonts w:ascii="Arial Narrow" w:eastAsia="Times New Roman" w:hAnsi="Arial Narrow" w:cs="Times New Roman"/>
          <w:noProof/>
          <w:sz w:val="24"/>
          <w:szCs w:val="24"/>
          <w:lang w:eastAsia="el-GR"/>
        </w:rPr>
        <w:drawing>
          <wp:inline distT="0" distB="0" distL="0" distR="0" wp14:anchorId="40860BAF" wp14:editId="717B0D64">
            <wp:extent cx="2758440" cy="3002280"/>
            <wp:effectExtent l="0" t="0" r="22860" b="26670"/>
            <wp:docPr id="59" name="Γράφημα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5941FC">
        <w:rPr>
          <w:rFonts w:ascii="Times New Roman" w:eastAsia="Times New Roman" w:hAnsi="Times New Roman" w:cs="Times New Roman"/>
          <w:noProof/>
          <w:sz w:val="24"/>
          <w:szCs w:val="24"/>
          <w:lang w:eastAsia="el-GR"/>
        </w:rPr>
        <w:t xml:space="preserve"> </w:t>
      </w:r>
    </w:p>
    <w:p w:rsidR="00E32517" w:rsidRDefault="00E32517" w:rsidP="002C7FEA">
      <w:pPr>
        <w:spacing w:after="0" w:line="240" w:lineRule="auto"/>
        <w:jc w:val="both"/>
        <w:rPr>
          <w:rFonts w:ascii="Arial Narrow" w:eastAsia="Times New Roman" w:hAnsi="Arial Narrow" w:cs="Times New Roman"/>
          <w:sz w:val="24"/>
          <w:szCs w:val="24"/>
          <w:lang w:eastAsia="el-GR"/>
        </w:rPr>
      </w:pPr>
    </w:p>
    <w:p w:rsidR="00E32517" w:rsidRDefault="00E32517" w:rsidP="002C7FEA">
      <w:pPr>
        <w:spacing w:after="0" w:line="240" w:lineRule="auto"/>
        <w:jc w:val="both"/>
        <w:rPr>
          <w:rFonts w:ascii="Arial Narrow" w:eastAsia="Times New Roman" w:hAnsi="Arial Narrow" w:cs="Times New Roman"/>
          <w:sz w:val="24"/>
          <w:szCs w:val="24"/>
          <w:lang w:eastAsia="el-GR"/>
        </w:rPr>
      </w:pPr>
    </w:p>
    <w:p w:rsidR="00540700" w:rsidRPr="00540700" w:rsidRDefault="00540700" w:rsidP="00540700">
      <w:pPr>
        <w:spacing w:after="0" w:line="360" w:lineRule="auto"/>
        <w:jc w:val="both"/>
        <w:rPr>
          <w:rFonts w:ascii="Times New Roman" w:eastAsia="Times New Roman" w:hAnsi="Times New Roman" w:cs="Times New Roman"/>
          <w:sz w:val="24"/>
          <w:szCs w:val="24"/>
          <w:lang w:eastAsia="el-GR"/>
        </w:rPr>
      </w:pPr>
      <w:r w:rsidRPr="00540700">
        <w:rPr>
          <w:rFonts w:ascii="Times New Roman" w:eastAsia="Times New Roman" w:hAnsi="Times New Roman" w:cs="Times New Roman"/>
          <w:sz w:val="24"/>
          <w:szCs w:val="24"/>
          <w:lang w:eastAsia="el-GR"/>
        </w:rPr>
        <w:t>To 8.9% των ερωτηθέντων ή περίπου 74.000 μικρές και πολύ μικρές επιχειρήσεις δηλώνουν ότι έχουν βρεθεί αντιμέτωπες το προηγούμενο εξάμηνο με κατάσχεση/ ή δέσμευση λογαριασμών για οφειλές. Ο αριθμός αυτός που είναι ιδιαίτερα υψηλός, δεδομένου ότι αφορά το μόλις προηγούμενο εξάμηνο, συνηγορεί προς την καθιέρωση ακατάσχετου επιχειρηματικού λογαριασμού ώστε να μην κινδυνεύουν επιχειρήσεις με άμεσο κλείσιμο λόγω έλλειψης ρευστότητας και παράλληλα να διατηρούν την δυνατότητα αποπληρωμής των οφειλών τους. Σημαντικό ρόλο μπορούν να διαδραματίσουν τόσο η πρόσφατα θεσμοθετημένη δομή στήριξης επιχειρήσεων όσο και</w:t>
      </w:r>
      <w:r w:rsidR="00C509D1">
        <w:rPr>
          <w:rFonts w:ascii="Times New Roman" w:eastAsia="Times New Roman" w:hAnsi="Times New Roman" w:cs="Times New Roman"/>
          <w:sz w:val="24"/>
          <w:szCs w:val="24"/>
          <w:lang w:eastAsia="el-GR"/>
        </w:rPr>
        <w:t xml:space="preserve"> ο</w:t>
      </w:r>
      <w:r w:rsidRPr="00540700">
        <w:rPr>
          <w:rFonts w:ascii="Times New Roman" w:eastAsia="Times New Roman" w:hAnsi="Times New Roman" w:cs="Times New Roman"/>
          <w:sz w:val="24"/>
          <w:szCs w:val="24"/>
          <w:lang w:eastAsia="el-GR"/>
        </w:rPr>
        <w:t xml:space="preserve"> εξωδικαστικός μηχανισμός ρύθμισης οφειλών αφού ενσωματώσουν και διευρύνουν δράσεις έγκαιρης προειδοποίησης επιχειρήσεων, αναδιάρθρωσης και παροχής δεύτερης ευκαιρίας.</w:t>
      </w:r>
    </w:p>
    <w:p w:rsidR="00540700" w:rsidRPr="00540700" w:rsidRDefault="00540700" w:rsidP="00540700">
      <w:pPr>
        <w:spacing w:after="0" w:line="360" w:lineRule="auto"/>
        <w:jc w:val="both"/>
        <w:rPr>
          <w:rFonts w:ascii="Times New Roman" w:eastAsia="Times New Roman" w:hAnsi="Times New Roman" w:cs="Times New Roman"/>
          <w:sz w:val="24"/>
          <w:szCs w:val="24"/>
          <w:lang w:eastAsia="el-GR"/>
        </w:rPr>
      </w:pPr>
      <w:r w:rsidRPr="00540700">
        <w:rPr>
          <w:rFonts w:ascii="Times New Roman" w:eastAsia="Times New Roman" w:hAnsi="Times New Roman" w:cs="Times New Roman"/>
          <w:sz w:val="24"/>
          <w:szCs w:val="24"/>
          <w:lang w:eastAsia="el-GR"/>
        </w:rPr>
        <w:t>Μειωμένες καταγράφονται οι οφειλές των επιχειρήσεων προς τον ιδιωτικό τομέα, καθώς εκείνοι που δηλώνουν ότι καθυστερούν να καταβάλλουν οφειλές σε προμηθευτές, σε ενοίκια και στις πρώην ΔΕΚΟ είναι αντίστοιχα στο 16,1%, 12% και 17% (Γράφημα 27). Παρόλο που τα ποσοστά είναι μειωμένα σε σχέση με όλες τις προηγούμενες έρευνες του ΙΜΕ ΓΣΕΒΕΕ παραμένουν σημαντικά υψηλά που σε ένα βαθμό αντανακλά την περιορισμένη πρόσβαση ιδίως των πολύ μικρών επιχειρήσεων σε κεφάλαια και πιστώσεις.</w:t>
      </w:r>
    </w:p>
    <w:p w:rsidR="00E32517" w:rsidRDefault="0050739F" w:rsidP="00540700">
      <w:pPr>
        <w:spacing w:after="0" w:line="240" w:lineRule="auto"/>
        <w:jc w:val="both"/>
        <w:rPr>
          <w:rFonts w:ascii="Arial Narrow" w:eastAsia="Times New Roman" w:hAnsi="Arial Narrow" w:cs="Times New Roman"/>
          <w:sz w:val="24"/>
          <w:szCs w:val="24"/>
          <w:lang w:eastAsia="el-GR"/>
        </w:rPr>
      </w:pPr>
      <w:r w:rsidRPr="005941FC">
        <w:rPr>
          <w:rFonts w:ascii="Arial Narrow" w:eastAsia="Times New Roman" w:hAnsi="Arial Narrow" w:cs="Times New Roman"/>
          <w:noProof/>
          <w:color w:val="FF0000"/>
          <w:sz w:val="24"/>
          <w:szCs w:val="24"/>
          <w:highlight w:val="yellow"/>
          <w:lang w:eastAsia="el-GR"/>
        </w:rPr>
        <w:lastRenderedPageBreak/>
        <w:drawing>
          <wp:inline distT="0" distB="0" distL="0" distR="0" wp14:anchorId="3777652C" wp14:editId="7A710A3E">
            <wp:extent cx="6400800" cy="3360057"/>
            <wp:effectExtent l="0" t="0" r="19050" b="12065"/>
            <wp:docPr id="60" name="Γράφημα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E32517" w:rsidRPr="002C7FEA" w:rsidRDefault="00E32517" w:rsidP="002C7FEA">
      <w:pPr>
        <w:spacing w:after="0" w:line="240" w:lineRule="auto"/>
        <w:jc w:val="both"/>
        <w:rPr>
          <w:rFonts w:ascii="Arial Narrow" w:eastAsia="Times New Roman" w:hAnsi="Arial Narrow" w:cs="Times New Roman"/>
          <w:sz w:val="24"/>
          <w:szCs w:val="24"/>
          <w:lang w:eastAsia="el-GR"/>
        </w:rPr>
      </w:pPr>
    </w:p>
    <w:p w:rsidR="002C7FEA" w:rsidRPr="002E6F5D" w:rsidRDefault="0050739F" w:rsidP="002E6F5D">
      <w:pPr>
        <w:spacing w:after="0" w:line="360" w:lineRule="auto"/>
        <w:jc w:val="both"/>
        <w:rPr>
          <w:rFonts w:ascii="Times New Roman" w:eastAsia="Times New Roman" w:hAnsi="Times New Roman" w:cs="Times New Roman"/>
          <w:sz w:val="24"/>
          <w:szCs w:val="24"/>
          <w:highlight w:val="yellow"/>
          <w:lang w:eastAsia="el-GR"/>
        </w:rPr>
      </w:pPr>
      <w:r w:rsidRPr="002E6F5D">
        <w:rPr>
          <w:rFonts w:ascii="Times New Roman" w:eastAsia="Times New Roman" w:hAnsi="Times New Roman" w:cs="Times New Roman"/>
          <w:sz w:val="24"/>
          <w:szCs w:val="24"/>
          <w:lang w:eastAsia="el-GR"/>
        </w:rPr>
        <w:t>Γενικά τ</w:t>
      </w:r>
      <w:r w:rsidR="002C7FEA" w:rsidRPr="002E6F5D">
        <w:rPr>
          <w:rFonts w:ascii="Times New Roman" w:eastAsia="Times New Roman" w:hAnsi="Times New Roman" w:cs="Times New Roman"/>
          <w:sz w:val="24"/>
          <w:szCs w:val="24"/>
          <w:lang w:eastAsia="el-GR"/>
        </w:rPr>
        <w:t>α μεγαλύτερα π</w:t>
      </w:r>
      <w:r w:rsidR="002E6F5D" w:rsidRPr="002E6F5D">
        <w:rPr>
          <w:rFonts w:ascii="Times New Roman" w:eastAsia="Times New Roman" w:hAnsi="Times New Roman" w:cs="Times New Roman"/>
          <w:sz w:val="24"/>
          <w:szCs w:val="24"/>
          <w:lang w:eastAsia="el-GR"/>
        </w:rPr>
        <w:t>ροβλήματα υπερχρέωσης αντιμετωπί</w:t>
      </w:r>
      <w:r w:rsidR="002C7FEA" w:rsidRPr="002E6F5D">
        <w:rPr>
          <w:rFonts w:ascii="Times New Roman" w:eastAsia="Times New Roman" w:hAnsi="Times New Roman" w:cs="Times New Roman"/>
          <w:sz w:val="24"/>
          <w:szCs w:val="24"/>
          <w:lang w:eastAsia="el-GR"/>
        </w:rPr>
        <w:t>ζουν κυρίως οι επιχειρήσεις χωρίς προσωπικό και εκείνες με τζίρο έως 50.000 €, δηλαδή οι μικρότερες επιχειρήσεις.</w:t>
      </w:r>
    </w:p>
    <w:p w:rsidR="002C7FEA" w:rsidRPr="002E6F5D" w:rsidRDefault="002C7FEA" w:rsidP="002E6F5D">
      <w:pPr>
        <w:spacing w:after="0" w:line="360" w:lineRule="auto"/>
        <w:jc w:val="both"/>
        <w:rPr>
          <w:rFonts w:ascii="Times New Roman" w:eastAsia="Times New Roman" w:hAnsi="Times New Roman" w:cs="Times New Roman"/>
          <w:sz w:val="24"/>
          <w:szCs w:val="24"/>
          <w:highlight w:val="yellow"/>
          <w:lang w:eastAsia="el-GR"/>
        </w:rPr>
      </w:pPr>
    </w:p>
    <w:p w:rsidR="005941FC" w:rsidRPr="002E6F5D" w:rsidRDefault="005941FC" w:rsidP="002E6F5D">
      <w:pPr>
        <w:pStyle w:val="a5"/>
        <w:numPr>
          <w:ilvl w:val="0"/>
          <w:numId w:val="20"/>
        </w:numPr>
        <w:spacing w:after="0" w:line="360" w:lineRule="auto"/>
        <w:jc w:val="both"/>
        <w:rPr>
          <w:rFonts w:ascii="Times New Roman" w:eastAsia="Times New Roman" w:hAnsi="Times New Roman" w:cs="Times New Roman"/>
          <w:b/>
          <w:sz w:val="24"/>
          <w:szCs w:val="24"/>
          <w:u w:val="single"/>
          <w:lang w:eastAsia="el-GR"/>
        </w:rPr>
      </w:pPr>
      <w:r w:rsidRPr="002E6F5D">
        <w:rPr>
          <w:rFonts w:ascii="Times New Roman" w:eastAsia="Times New Roman" w:hAnsi="Times New Roman" w:cs="Times New Roman"/>
          <w:b/>
          <w:sz w:val="24"/>
          <w:szCs w:val="24"/>
          <w:u w:val="single"/>
          <w:lang w:eastAsia="el-GR"/>
        </w:rPr>
        <w:t>ΕΠΙΧΕΙΡΗΜΑΤΙΚΗ ΔΡΑΣΤΗΡΙΟΤΗΤΑ</w:t>
      </w:r>
    </w:p>
    <w:p w:rsidR="00DB77D0" w:rsidRPr="002E6F5D" w:rsidRDefault="00DB77D0" w:rsidP="002E6F5D">
      <w:pPr>
        <w:spacing w:after="0" w:line="360" w:lineRule="auto"/>
        <w:jc w:val="both"/>
        <w:rPr>
          <w:rFonts w:ascii="Times New Roman" w:eastAsia="Times New Roman" w:hAnsi="Times New Roman" w:cs="Times New Roman"/>
          <w:sz w:val="24"/>
          <w:szCs w:val="24"/>
          <w:lang w:eastAsia="el-GR"/>
        </w:rPr>
      </w:pPr>
      <w:r w:rsidRPr="002E6F5D">
        <w:rPr>
          <w:rFonts w:ascii="Times New Roman" w:eastAsia="Times New Roman" w:hAnsi="Times New Roman" w:cs="Times New Roman"/>
          <w:sz w:val="24"/>
          <w:szCs w:val="24"/>
          <w:lang w:eastAsia="el-GR"/>
        </w:rPr>
        <w:t>Παρά την επιβράδυνση στην οικονομική δραστηριότητα που καταγράφεται για το Α εξάμηνο του 2019 το θετικό ισοζύγιο εγγραφών – διαγραφών επιχειρήσεων συνεχίζεται για πέμπτο συνεχόμενο εξάμηνο. Σύμφωνα με τα στοιχεία του ΓΕΜΗ το ισοζύγιο εγγραφών – διαγραφών επιχειρήσεων για το Α’ εξάμηνο του 2019 ήταν θετικό κατά 11.126 επιχειρήσεις</w:t>
      </w:r>
      <w:r w:rsidR="00F8797A" w:rsidRPr="002E6F5D">
        <w:rPr>
          <w:rFonts w:ascii="Times New Roman" w:eastAsia="Times New Roman" w:hAnsi="Times New Roman" w:cs="Times New Roman"/>
          <w:sz w:val="24"/>
          <w:szCs w:val="24"/>
          <w:lang w:eastAsia="el-GR"/>
        </w:rPr>
        <w:t xml:space="preserve"> (Γράφημα 28)</w:t>
      </w:r>
      <w:r w:rsidRPr="002E6F5D">
        <w:rPr>
          <w:rFonts w:ascii="Times New Roman" w:eastAsia="Times New Roman" w:hAnsi="Times New Roman" w:cs="Times New Roman"/>
          <w:sz w:val="24"/>
          <w:szCs w:val="24"/>
          <w:lang w:eastAsia="el-GR"/>
        </w:rPr>
        <w:t>.</w:t>
      </w:r>
    </w:p>
    <w:p w:rsidR="00F8797A" w:rsidRPr="002E6F5D" w:rsidRDefault="00F8797A" w:rsidP="00DB77D0">
      <w:pPr>
        <w:spacing w:after="0" w:line="240" w:lineRule="auto"/>
        <w:jc w:val="both"/>
        <w:rPr>
          <w:rFonts w:ascii="Times New Roman" w:eastAsia="Times New Roman" w:hAnsi="Times New Roman" w:cs="Times New Roman"/>
          <w:b/>
          <w:sz w:val="24"/>
          <w:szCs w:val="24"/>
          <w:lang w:eastAsia="el-GR"/>
        </w:rPr>
      </w:pPr>
      <w:r w:rsidRPr="002E6F5D">
        <w:rPr>
          <w:rFonts w:ascii="Times New Roman" w:eastAsia="Times New Roman" w:hAnsi="Times New Roman" w:cs="Times New Roman"/>
          <w:b/>
          <w:sz w:val="24"/>
          <w:szCs w:val="24"/>
          <w:lang w:eastAsia="el-GR"/>
        </w:rPr>
        <w:t>Γραφημα 28 – Εγγραφές/ Διαγραφές επιχειρήσεων</w:t>
      </w:r>
    </w:p>
    <w:p w:rsidR="00F8797A" w:rsidRDefault="00F8797A" w:rsidP="00DB77D0">
      <w:pPr>
        <w:spacing w:after="0" w:line="240" w:lineRule="auto"/>
        <w:jc w:val="both"/>
        <w:rPr>
          <w:rFonts w:ascii="Arial Narrow" w:eastAsia="Times New Roman" w:hAnsi="Arial Narrow" w:cs="Times New Roman"/>
          <w:b/>
          <w:sz w:val="24"/>
          <w:szCs w:val="24"/>
          <w:lang w:eastAsia="el-GR"/>
        </w:rPr>
      </w:pPr>
      <w:r>
        <w:rPr>
          <w:noProof/>
          <w:lang w:eastAsia="el-GR"/>
        </w:rPr>
        <w:drawing>
          <wp:inline distT="0" distB="0" distL="0" distR="0" wp14:anchorId="2024466B" wp14:editId="7AC2FA26">
            <wp:extent cx="4572000" cy="2857500"/>
            <wp:effectExtent l="0" t="0" r="19050"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F8797A" w:rsidRPr="002E6F5D" w:rsidRDefault="00F8797A" w:rsidP="00DB77D0">
      <w:pPr>
        <w:spacing w:after="0" w:line="240" w:lineRule="auto"/>
        <w:jc w:val="both"/>
        <w:rPr>
          <w:rFonts w:ascii="Times New Roman" w:eastAsia="Times New Roman" w:hAnsi="Times New Roman" w:cs="Times New Roman"/>
          <w:sz w:val="16"/>
          <w:szCs w:val="16"/>
          <w:lang w:eastAsia="el-GR"/>
        </w:rPr>
      </w:pPr>
      <w:r w:rsidRPr="002E6F5D">
        <w:rPr>
          <w:rFonts w:ascii="Times New Roman" w:eastAsia="Times New Roman" w:hAnsi="Times New Roman" w:cs="Times New Roman"/>
          <w:sz w:val="16"/>
          <w:szCs w:val="16"/>
          <w:lang w:eastAsia="el-GR"/>
        </w:rPr>
        <w:t>Πηγή: ΓΕΜΗ – Επεξεργασία ΙΜΕ ΓΣΕΒΕΕ</w:t>
      </w:r>
    </w:p>
    <w:p w:rsidR="002E6F5D" w:rsidRPr="002E6F5D" w:rsidRDefault="00DB77D0" w:rsidP="002E6F5D">
      <w:pPr>
        <w:spacing w:after="0" w:line="360" w:lineRule="auto"/>
        <w:jc w:val="both"/>
        <w:rPr>
          <w:rFonts w:ascii="Times New Roman" w:eastAsia="Times New Roman" w:hAnsi="Times New Roman" w:cs="Times New Roman"/>
          <w:sz w:val="24"/>
          <w:szCs w:val="24"/>
          <w:lang w:eastAsia="el-GR"/>
        </w:rPr>
      </w:pPr>
      <w:r w:rsidRPr="002E6F5D">
        <w:rPr>
          <w:rFonts w:ascii="Times New Roman" w:eastAsia="Times New Roman" w:hAnsi="Times New Roman" w:cs="Times New Roman"/>
          <w:sz w:val="24"/>
          <w:szCs w:val="24"/>
          <w:lang w:eastAsia="el-GR"/>
        </w:rPr>
        <w:lastRenderedPageBreak/>
        <w:t xml:space="preserve">Τα στοιχεία αυτά επιβεβαιώνονται και από τα ευρήματα της έρευνας του ΙΜΕ ΓΣΕΒΕΕ όπου ο δείκτης βιωσιμότητας των μικρών και πολύ μικρών επιχειρήσεων </w:t>
      </w:r>
      <w:r w:rsidR="009E578F">
        <w:rPr>
          <w:rFonts w:ascii="Times New Roman" w:eastAsia="Times New Roman" w:hAnsi="Times New Roman" w:cs="Times New Roman"/>
          <w:sz w:val="24"/>
          <w:szCs w:val="24"/>
          <w:lang w:eastAsia="el-GR"/>
        </w:rPr>
        <w:t>βρί</w:t>
      </w:r>
      <w:r w:rsidR="00C509D1">
        <w:rPr>
          <w:rFonts w:ascii="Times New Roman" w:eastAsia="Times New Roman" w:hAnsi="Times New Roman" w:cs="Times New Roman"/>
          <w:sz w:val="24"/>
          <w:szCs w:val="24"/>
          <w:lang w:eastAsia="el-GR"/>
        </w:rPr>
        <w:t>σκεται στις 91 μονάδες, αυξημέ</w:t>
      </w:r>
      <w:r w:rsidRPr="002E6F5D">
        <w:rPr>
          <w:rFonts w:ascii="Times New Roman" w:eastAsia="Times New Roman" w:hAnsi="Times New Roman" w:cs="Times New Roman"/>
          <w:sz w:val="24"/>
          <w:szCs w:val="24"/>
          <w:lang w:eastAsia="el-GR"/>
        </w:rPr>
        <w:t>νος κατά 3  σε σχέση με το αντίστοιχο διάστημα του 2009 (88)</w:t>
      </w:r>
      <w:r w:rsidR="00376638" w:rsidRPr="002E6F5D">
        <w:rPr>
          <w:rFonts w:ascii="Times New Roman" w:eastAsia="Times New Roman" w:hAnsi="Times New Roman" w:cs="Times New Roman"/>
          <w:sz w:val="24"/>
          <w:szCs w:val="24"/>
          <w:lang w:eastAsia="el-GR"/>
        </w:rPr>
        <w:t>, πριν δηλαδή από την εκδήλωση της οικονομικής κρίσης,</w:t>
      </w:r>
      <w:r w:rsidRPr="002E6F5D">
        <w:rPr>
          <w:rFonts w:ascii="Times New Roman" w:eastAsia="Times New Roman" w:hAnsi="Times New Roman" w:cs="Times New Roman"/>
          <w:sz w:val="24"/>
          <w:szCs w:val="24"/>
          <w:lang w:eastAsia="el-GR"/>
        </w:rPr>
        <w:t xml:space="preserve"> και αυξημένος κατά 25 μονάδες σε σχέση με το αντιστοιχο διάστημ</w:t>
      </w:r>
      <w:r w:rsidR="00F8797A" w:rsidRPr="002E6F5D">
        <w:rPr>
          <w:rFonts w:ascii="Times New Roman" w:eastAsia="Times New Roman" w:hAnsi="Times New Roman" w:cs="Times New Roman"/>
          <w:sz w:val="24"/>
          <w:szCs w:val="24"/>
          <w:lang w:eastAsia="el-GR"/>
        </w:rPr>
        <w:t>α</w:t>
      </w:r>
      <w:r w:rsidRPr="002E6F5D">
        <w:rPr>
          <w:rFonts w:ascii="Times New Roman" w:eastAsia="Times New Roman" w:hAnsi="Times New Roman" w:cs="Times New Roman"/>
          <w:sz w:val="24"/>
          <w:szCs w:val="24"/>
          <w:lang w:eastAsia="el-GR"/>
        </w:rPr>
        <w:t xml:space="preserve"> του 2012 (66) όπου οι επιχειρήσεις που έκλεινα</w:t>
      </w:r>
      <w:r w:rsidR="00142FCF" w:rsidRPr="002E6F5D">
        <w:rPr>
          <w:rFonts w:ascii="Times New Roman" w:eastAsia="Times New Roman" w:hAnsi="Times New Roman" w:cs="Times New Roman"/>
          <w:sz w:val="24"/>
          <w:szCs w:val="24"/>
          <w:lang w:eastAsia="el-GR"/>
        </w:rPr>
        <w:t>ν</w:t>
      </w:r>
      <w:r w:rsidR="009E578F">
        <w:rPr>
          <w:rFonts w:ascii="Times New Roman" w:eastAsia="Times New Roman" w:hAnsi="Times New Roman" w:cs="Times New Roman"/>
          <w:sz w:val="24"/>
          <w:szCs w:val="24"/>
          <w:lang w:eastAsia="el-GR"/>
        </w:rPr>
        <w:t xml:space="preserve"> ή</w:t>
      </w:r>
      <w:r w:rsidRPr="002E6F5D">
        <w:rPr>
          <w:rFonts w:ascii="Times New Roman" w:eastAsia="Times New Roman" w:hAnsi="Times New Roman" w:cs="Times New Roman"/>
          <w:sz w:val="24"/>
          <w:szCs w:val="24"/>
          <w:lang w:eastAsia="el-GR"/>
        </w:rPr>
        <w:t>ταν πολλαπλάσιες σε σχέση με εκείνες που άνοιγαν</w:t>
      </w:r>
      <w:r w:rsidR="00F8797A" w:rsidRPr="002E6F5D">
        <w:rPr>
          <w:rFonts w:ascii="Times New Roman" w:eastAsia="Times New Roman" w:hAnsi="Times New Roman" w:cs="Times New Roman"/>
          <w:sz w:val="24"/>
          <w:szCs w:val="24"/>
          <w:lang w:eastAsia="el-GR"/>
        </w:rPr>
        <w:t xml:space="preserve"> (Γράφημα 29) </w:t>
      </w:r>
      <w:r w:rsidRPr="002E6F5D">
        <w:rPr>
          <w:rFonts w:ascii="Times New Roman" w:eastAsia="Times New Roman" w:hAnsi="Times New Roman" w:cs="Times New Roman"/>
          <w:sz w:val="24"/>
          <w:szCs w:val="24"/>
          <w:lang w:eastAsia="el-GR"/>
        </w:rPr>
        <w:t>. Ωστόσο αν και</w:t>
      </w:r>
      <w:r w:rsidR="002E6F5D">
        <w:rPr>
          <w:rFonts w:ascii="Times New Roman" w:eastAsia="Times New Roman" w:hAnsi="Times New Roman" w:cs="Times New Roman"/>
          <w:sz w:val="24"/>
          <w:szCs w:val="24"/>
          <w:lang w:eastAsia="el-GR"/>
        </w:rPr>
        <w:t xml:space="preserve"> αρκετά μειωμένος βρισκόμενος μά</w:t>
      </w:r>
      <w:r w:rsidRPr="002E6F5D">
        <w:rPr>
          <w:rFonts w:ascii="Times New Roman" w:eastAsia="Times New Roman" w:hAnsi="Times New Roman" w:cs="Times New Roman"/>
          <w:sz w:val="24"/>
          <w:szCs w:val="24"/>
          <w:lang w:eastAsia="el-GR"/>
        </w:rPr>
        <w:t>λιστα στο χαμηλότερο επίπεδο των τ</w:t>
      </w:r>
      <w:r w:rsidR="002E6F5D">
        <w:rPr>
          <w:rFonts w:ascii="Times New Roman" w:eastAsia="Times New Roman" w:hAnsi="Times New Roman" w:cs="Times New Roman"/>
          <w:sz w:val="24"/>
          <w:szCs w:val="24"/>
          <w:lang w:eastAsia="el-GR"/>
        </w:rPr>
        <w:t>ελευταίων 9 ετώ</w:t>
      </w:r>
      <w:r w:rsidRPr="002E6F5D">
        <w:rPr>
          <w:rFonts w:ascii="Times New Roman" w:eastAsia="Times New Roman" w:hAnsi="Times New Roman" w:cs="Times New Roman"/>
          <w:sz w:val="24"/>
          <w:szCs w:val="24"/>
          <w:lang w:eastAsia="el-GR"/>
        </w:rPr>
        <w:t>ν , ο δείκτης ανασφάλειας και φόβου για την πορεία της επιχείρησης διατηρεί υψηλές τιμές. Το 24,1% των επιχειρήσεων θεωρεί αρκετά και πολύ πιθανό να κλείσει το επόμενο διάστημα (έναντι 34% του προηγούμενου εξαμήνου και 31,4% της αντίστοιχης έρευνας του Ιουλίου του 2018)</w:t>
      </w:r>
      <w:r w:rsidR="00F8797A" w:rsidRPr="002E6F5D">
        <w:rPr>
          <w:rFonts w:ascii="Times New Roman" w:eastAsia="Times New Roman" w:hAnsi="Times New Roman" w:cs="Times New Roman"/>
          <w:sz w:val="24"/>
          <w:szCs w:val="24"/>
          <w:lang w:eastAsia="el-GR"/>
        </w:rPr>
        <w:t xml:space="preserve"> (Γράφημα 30</w:t>
      </w:r>
      <w:r w:rsidR="00376638" w:rsidRPr="002E6F5D">
        <w:rPr>
          <w:rFonts w:ascii="Times New Roman" w:eastAsia="Times New Roman" w:hAnsi="Times New Roman" w:cs="Times New Roman"/>
          <w:sz w:val="24"/>
          <w:szCs w:val="24"/>
          <w:lang w:eastAsia="el-GR"/>
        </w:rPr>
        <w:t xml:space="preserve"> &amp; 31</w:t>
      </w:r>
      <w:r w:rsidR="00F8797A" w:rsidRPr="002E6F5D">
        <w:rPr>
          <w:rFonts w:ascii="Times New Roman" w:eastAsia="Times New Roman" w:hAnsi="Times New Roman" w:cs="Times New Roman"/>
          <w:sz w:val="24"/>
          <w:szCs w:val="24"/>
          <w:lang w:eastAsia="el-GR"/>
        </w:rPr>
        <w:t>)</w:t>
      </w:r>
      <w:r w:rsidRPr="002E6F5D">
        <w:rPr>
          <w:rFonts w:ascii="Times New Roman" w:eastAsia="Times New Roman" w:hAnsi="Times New Roman" w:cs="Times New Roman"/>
          <w:sz w:val="24"/>
          <w:szCs w:val="24"/>
          <w:lang w:eastAsia="el-GR"/>
        </w:rPr>
        <w:t xml:space="preserve">. </w:t>
      </w:r>
    </w:p>
    <w:p w:rsidR="00376638" w:rsidRPr="002E6F5D" w:rsidRDefault="00376638" w:rsidP="00376638">
      <w:pPr>
        <w:spacing w:after="0" w:line="240" w:lineRule="auto"/>
        <w:jc w:val="both"/>
        <w:rPr>
          <w:rFonts w:ascii="Arial Narrow" w:eastAsia="Times New Roman" w:hAnsi="Arial Narrow" w:cs="Times New Roman"/>
          <w:b/>
          <w:sz w:val="24"/>
          <w:szCs w:val="24"/>
          <w:lang w:eastAsia="el-GR"/>
        </w:rPr>
      </w:pPr>
      <w:r>
        <w:rPr>
          <w:noProof/>
          <w:lang w:eastAsia="el-GR"/>
        </w:rPr>
        <w:drawing>
          <wp:inline distT="0" distB="0" distL="0" distR="0" wp14:anchorId="0136E60F" wp14:editId="3A427A80">
            <wp:extent cx="6115050" cy="2314575"/>
            <wp:effectExtent l="0" t="0" r="19050" b="952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376638" w:rsidRPr="005941FC" w:rsidRDefault="00376638" w:rsidP="00376638">
      <w:pPr>
        <w:tabs>
          <w:tab w:val="left" w:pos="8280"/>
        </w:tabs>
        <w:spacing w:after="0" w:line="240" w:lineRule="auto"/>
        <w:ind w:right="26"/>
        <w:rPr>
          <w:rFonts w:ascii="Calibri" w:eastAsia="Times New Roman" w:hAnsi="Calibri" w:cs="Times New Roman"/>
          <w:b/>
          <w:sz w:val="16"/>
          <w:szCs w:val="16"/>
          <w:lang w:eastAsia="el-GR"/>
        </w:rPr>
      </w:pPr>
    </w:p>
    <w:tbl>
      <w:tblPr>
        <w:tblStyle w:val="ab"/>
        <w:tblW w:w="0" w:type="auto"/>
        <w:tblInd w:w="392" w:type="dxa"/>
        <w:tblLook w:val="04A0" w:firstRow="1" w:lastRow="0" w:firstColumn="1" w:lastColumn="0" w:noHBand="0" w:noVBand="1"/>
      </w:tblPr>
      <w:tblGrid>
        <w:gridCol w:w="4536"/>
        <w:gridCol w:w="5245"/>
      </w:tblGrid>
      <w:tr w:rsidR="00376638" w:rsidRPr="005941FC" w:rsidTr="00740D23">
        <w:tc>
          <w:tcPr>
            <w:tcW w:w="4536" w:type="dxa"/>
          </w:tcPr>
          <w:p w:rsidR="00376638" w:rsidRPr="005941FC" w:rsidRDefault="00376638" w:rsidP="00740D23">
            <w:pPr>
              <w:tabs>
                <w:tab w:val="left" w:pos="8280"/>
              </w:tabs>
              <w:ind w:right="26"/>
              <w:rPr>
                <w:rFonts w:ascii="Calibri" w:hAnsi="Calibri"/>
              </w:rPr>
            </w:pPr>
            <w:r>
              <w:rPr>
                <w:rFonts w:ascii="Calibri" w:hAnsi="Calibri"/>
              </w:rPr>
              <w:t>Γράφημα 30</w:t>
            </w:r>
          </w:p>
          <w:p w:rsidR="00376638" w:rsidRPr="005941FC" w:rsidRDefault="00376638" w:rsidP="00740D23">
            <w:pPr>
              <w:tabs>
                <w:tab w:val="left" w:pos="8280"/>
              </w:tabs>
              <w:ind w:right="26"/>
              <w:rPr>
                <w:rFonts w:ascii="Calibri" w:hAnsi="Calibri"/>
                <w:b/>
                <w:sz w:val="16"/>
                <w:szCs w:val="16"/>
              </w:rPr>
            </w:pPr>
            <w:r w:rsidRPr="005941FC">
              <w:rPr>
                <w:rFonts w:ascii="Calibri" w:hAnsi="Calibri"/>
                <w:b/>
                <w:sz w:val="16"/>
                <w:szCs w:val="16"/>
              </w:rPr>
              <w:t>Θεωρείτε πιθανό ή όχι το ενδεχόμενο η επιχείρησή σας να έχει σοβαρό πρόβλημα λειτουργίας το επόμενο διάστημα σε βαθμό που θα κινδυνεύει να κλείσει;</w:t>
            </w:r>
          </w:p>
          <w:p w:rsidR="00376638" w:rsidRPr="005941FC" w:rsidRDefault="00376638" w:rsidP="00740D23">
            <w:pPr>
              <w:tabs>
                <w:tab w:val="left" w:pos="8280"/>
              </w:tabs>
              <w:ind w:right="26"/>
              <w:rPr>
                <w:rFonts w:ascii="Calibri" w:hAnsi="Calibri"/>
                <w:b/>
                <w:sz w:val="16"/>
                <w:szCs w:val="16"/>
              </w:rPr>
            </w:pPr>
          </w:p>
        </w:tc>
        <w:tc>
          <w:tcPr>
            <w:tcW w:w="5245" w:type="dxa"/>
          </w:tcPr>
          <w:p w:rsidR="00376638" w:rsidRPr="005941FC" w:rsidRDefault="00376638" w:rsidP="00740D23">
            <w:pPr>
              <w:tabs>
                <w:tab w:val="left" w:pos="8280"/>
              </w:tabs>
              <w:ind w:right="26"/>
              <w:rPr>
                <w:rFonts w:ascii="Calibri" w:hAnsi="Calibri"/>
              </w:rPr>
            </w:pPr>
            <w:r>
              <w:rPr>
                <w:rFonts w:ascii="Calibri" w:hAnsi="Calibri"/>
              </w:rPr>
              <w:t>Γράφημα 31</w:t>
            </w:r>
          </w:p>
          <w:p w:rsidR="00376638" w:rsidRPr="005941FC" w:rsidRDefault="00376638" w:rsidP="00740D23">
            <w:pPr>
              <w:tabs>
                <w:tab w:val="left" w:pos="8280"/>
              </w:tabs>
              <w:ind w:right="26"/>
              <w:rPr>
                <w:rFonts w:ascii="Calibri" w:hAnsi="Calibri"/>
                <w:b/>
                <w:sz w:val="16"/>
                <w:szCs w:val="16"/>
              </w:rPr>
            </w:pPr>
            <w:r w:rsidRPr="005941FC">
              <w:rPr>
                <w:rFonts w:ascii="Calibri" w:hAnsi="Calibri"/>
                <w:b/>
                <w:sz w:val="16"/>
                <w:szCs w:val="16"/>
              </w:rPr>
              <w:t>Θεωρείτε πιθανό ή όχι το ενδεχόμενο η επιχείρησή σας να έχει σοβαρό πρόβλημα λειτουργίας το επόμενο διάστημα σε βαθμό που θα κινδυνεύει να κλείσει;</w:t>
            </w:r>
          </w:p>
          <w:p w:rsidR="00376638" w:rsidRPr="005941FC" w:rsidRDefault="00376638" w:rsidP="00740D23">
            <w:pPr>
              <w:tabs>
                <w:tab w:val="left" w:pos="8280"/>
              </w:tabs>
              <w:ind w:right="26"/>
              <w:rPr>
                <w:rFonts w:ascii="Calibri" w:hAnsi="Calibri"/>
                <w:b/>
                <w:sz w:val="16"/>
                <w:szCs w:val="16"/>
              </w:rPr>
            </w:pPr>
            <w:r w:rsidRPr="005941FC">
              <w:rPr>
                <w:rFonts w:ascii="Calibri" w:hAnsi="Calibri"/>
                <w:b/>
                <w:sz w:val="16"/>
                <w:szCs w:val="16"/>
              </w:rPr>
              <w:t>-Συγκριτικό γράφημα-</w:t>
            </w:r>
          </w:p>
        </w:tc>
      </w:tr>
    </w:tbl>
    <w:p w:rsidR="00376638" w:rsidRPr="005941FC" w:rsidRDefault="00376638" w:rsidP="00376638">
      <w:pPr>
        <w:tabs>
          <w:tab w:val="left" w:pos="1985"/>
          <w:tab w:val="center" w:pos="5400"/>
        </w:tabs>
        <w:spacing w:after="0" w:line="240" w:lineRule="auto"/>
        <w:ind w:left="142" w:firstLine="142"/>
        <w:rPr>
          <w:rFonts w:ascii="Arial Narrow" w:eastAsia="Times New Roman" w:hAnsi="Arial Narrow" w:cs="Times New Roman"/>
          <w:noProof/>
          <w:sz w:val="24"/>
          <w:szCs w:val="24"/>
          <w:lang w:eastAsia="el-GR"/>
        </w:rPr>
      </w:pPr>
      <w:r w:rsidRPr="005941FC">
        <w:rPr>
          <w:rFonts w:ascii="Arial Narrow" w:eastAsia="Times New Roman" w:hAnsi="Arial Narrow" w:cs="Times New Roman"/>
          <w:noProof/>
          <w:sz w:val="24"/>
          <w:szCs w:val="24"/>
          <w:lang w:eastAsia="el-GR"/>
        </w:rPr>
        <w:drawing>
          <wp:inline distT="0" distB="0" distL="0" distR="0" wp14:anchorId="20FDF528" wp14:editId="49B2BCF9">
            <wp:extent cx="2905125" cy="3209925"/>
            <wp:effectExtent l="0" t="0" r="9525" b="9525"/>
            <wp:docPr id="15" name="Γράφημα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Pr="005941FC">
        <w:rPr>
          <w:rFonts w:ascii="Arial Narrow" w:eastAsia="Calibri" w:hAnsi="Arial Narrow" w:cs="Times New Roman"/>
          <w:b/>
          <w:noProof/>
          <w:sz w:val="20"/>
          <w:szCs w:val="20"/>
          <w:u w:val="single"/>
          <w:lang w:eastAsia="el-GR"/>
        </w:rPr>
        <w:drawing>
          <wp:inline distT="0" distB="0" distL="0" distR="0" wp14:anchorId="69088B33" wp14:editId="07D10F34">
            <wp:extent cx="3276600" cy="3209925"/>
            <wp:effectExtent l="0" t="0" r="19050" b="9525"/>
            <wp:docPr id="16" name="Γράφημα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376638" w:rsidRPr="005941FC" w:rsidRDefault="00376638" w:rsidP="00376638">
      <w:pPr>
        <w:spacing w:after="0" w:line="240" w:lineRule="auto"/>
        <w:ind w:firstLine="709"/>
        <w:rPr>
          <w:rFonts w:ascii="Arial Narrow" w:eastAsia="Times New Roman" w:hAnsi="Arial Narrow" w:cs="Times New Roman"/>
          <w:b/>
          <w:sz w:val="24"/>
          <w:szCs w:val="24"/>
          <w:u w:val="single"/>
          <w:lang w:eastAsia="el-GR"/>
        </w:rPr>
      </w:pPr>
    </w:p>
    <w:p w:rsidR="00DB77D0" w:rsidRPr="002E6F5D" w:rsidRDefault="00DB77D0" w:rsidP="002E6F5D">
      <w:pPr>
        <w:spacing w:after="0" w:line="360" w:lineRule="auto"/>
        <w:jc w:val="both"/>
        <w:rPr>
          <w:rFonts w:ascii="Times New Roman" w:eastAsia="Times New Roman" w:hAnsi="Times New Roman" w:cs="Times New Roman"/>
          <w:sz w:val="24"/>
          <w:szCs w:val="24"/>
          <w:lang w:eastAsia="el-GR"/>
        </w:rPr>
      </w:pPr>
      <w:r w:rsidRPr="002E6F5D">
        <w:rPr>
          <w:rFonts w:ascii="Times New Roman" w:eastAsia="Times New Roman" w:hAnsi="Times New Roman" w:cs="Times New Roman"/>
          <w:sz w:val="24"/>
          <w:szCs w:val="24"/>
          <w:lang w:eastAsia="el-GR"/>
        </w:rPr>
        <w:t>Οι υψηλές φορολογικές επιβαρύνσεις, η χαμηλή ζήτηση, η έλλειψη ρευστότητας και χρηματοδότησης θεωρούνται ως τα σημαντικότερα εμπόδια για την άσκηση επιχειρηματικής δραστηριότητας.</w:t>
      </w:r>
    </w:p>
    <w:p w:rsidR="00DB77D0" w:rsidRPr="002E6F5D" w:rsidRDefault="00DB77D0" w:rsidP="002E6F5D">
      <w:pPr>
        <w:spacing w:after="0" w:line="360" w:lineRule="auto"/>
        <w:jc w:val="both"/>
        <w:rPr>
          <w:rFonts w:ascii="Times New Roman" w:eastAsia="Times New Roman" w:hAnsi="Times New Roman" w:cs="Times New Roman"/>
          <w:sz w:val="24"/>
          <w:szCs w:val="24"/>
          <w:lang w:eastAsia="el-GR"/>
        </w:rPr>
      </w:pPr>
      <w:r w:rsidRPr="002E6F5D">
        <w:rPr>
          <w:rFonts w:ascii="Times New Roman" w:eastAsia="Times New Roman" w:hAnsi="Times New Roman" w:cs="Times New Roman"/>
          <w:sz w:val="24"/>
          <w:szCs w:val="24"/>
          <w:lang w:eastAsia="el-GR"/>
        </w:rPr>
        <w:t>Η μείωση της φορολογίας και του ΦΠΑ αποτελούν κατά συντριπτικό ποσοστό (73,8%) το σημαντικότερο εμπόδιο στην επιχειρηματική τους δραστηριότητα</w:t>
      </w:r>
      <w:r w:rsidR="00376638" w:rsidRPr="002E6F5D">
        <w:rPr>
          <w:rFonts w:ascii="Times New Roman" w:eastAsia="Times New Roman" w:hAnsi="Times New Roman" w:cs="Times New Roman"/>
          <w:sz w:val="24"/>
          <w:szCs w:val="24"/>
          <w:lang w:eastAsia="el-GR"/>
        </w:rPr>
        <w:t xml:space="preserve"> (Γράφημα 32)</w:t>
      </w:r>
      <w:r w:rsidRPr="002E6F5D">
        <w:rPr>
          <w:rFonts w:ascii="Times New Roman" w:eastAsia="Times New Roman" w:hAnsi="Times New Roman" w:cs="Times New Roman"/>
          <w:sz w:val="24"/>
          <w:szCs w:val="24"/>
          <w:lang w:eastAsia="el-GR"/>
        </w:rPr>
        <w:t>.</w:t>
      </w:r>
    </w:p>
    <w:p w:rsidR="002E6F5D" w:rsidRDefault="00376638" w:rsidP="00DB77D0">
      <w:pPr>
        <w:spacing w:after="0" w:line="240" w:lineRule="auto"/>
        <w:jc w:val="both"/>
        <w:rPr>
          <w:rFonts w:ascii="Arial Narrow" w:eastAsia="Times New Roman" w:hAnsi="Arial Narrow" w:cs="Times New Roman"/>
          <w:b/>
          <w:sz w:val="24"/>
          <w:szCs w:val="24"/>
          <w:lang w:eastAsia="el-GR"/>
        </w:rPr>
      </w:pPr>
      <w:r>
        <w:rPr>
          <w:rFonts w:ascii="Arial Narrow" w:eastAsia="Times New Roman" w:hAnsi="Arial Narrow" w:cs="Times New Roman"/>
          <w:b/>
          <w:sz w:val="24"/>
          <w:szCs w:val="24"/>
          <w:lang w:eastAsia="el-GR"/>
        </w:rPr>
        <w:t xml:space="preserve">Γράφημα 32: </w:t>
      </w:r>
      <w:r w:rsidRPr="00376638">
        <w:rPr>
          <w:rFonts w:ascii="Arial Narrow" w:eastAsia="Times New Roman" w:hAnsi="Arial Narrow" w:cs="Times New Roman"/>
          <w:b/>
          <w:sz w:val="24"/>
          <w:szCs w:val="24"/>
          <w:lang w:eastAsia="el-GR"/>
        </w:rPr>
        <w:t xml:space="preserve">Ποιο θεωρείτε το σημαντικότερο εμπόδιο για την επιχείρησή σας σήμερα; </w:t>
      </w:r>
    </w:p>
    <w:p w:rsidR="00376638" w:rsidRDefault="002E6F5D" w:rsidP="00DB77D0">
      <w:pPr>
        <w:spacing w:after="0" w:line="240" w:lineRule="auto"/>
        <w:jc w:val="both"/>
        <w:rPr>
          <w:rFonts w:ascii="Arial Narrow" w:eastAsia="Times New Roman" w:hAnsi="Arial Narrow" w:cs="Times New Roman"/>
          <w:b/>
          <w:sz w:val="24"/>
          <w:szCs w:val="24"/>
          <w:lang w:eastAsia="el-GR"/>
        </w:rPr>
      </w:pPr>
      <w:r>
        <w:rPr>
          <w:rFonts w:ascii="Arial Narrow" w:eastAsia="Times New Roman" w:hAnsi="Arial Narrow" w:cs="Times New Roman"/>
          <w:b/>
          <w:sz w:val="24"/>
          <w:szCs w:val="24"/>
          <w:lang w:eastAsia="el-GR"/>
        </w:rPr>
        <w:t xml:space="preserve">Και ποιο άλλο; </w:t>
      </w:r>
      <w:r w:rsidR="00376638" w:rsidRPr="00376638">
        <w:rPr>
          <w:rFonts w:ascii="Arial Narrow" w:eastAsia="Times New Roman" w:hAnsi="Arial Narrow" w:cs="Times New Roman"/>
          <w:b/>
          <w:sz w:val="24"/>
          <w:szCs w:val="24"/>
          <w:lang w:eastAsia="el-GR"/>
        </w:rPr>
        <w:t>(έως 3 επιλογές)</w:t>
      </w:r>
    </w:p>
    <w:p w:rsidR="00376638" w:rsidRDefault="00376638" w:rsidP="00DB77D0">
      <w:pPr>
        <w:spacing w:after="0" w:line="240" w:lineRule="auto"/>
        <w:jc w:val="both"/>
        <w:rPr>
          <w:rFonts w:ascii="Arial Narrow" w:eastAsia="Times New Roman" w:hAnsi="Arial Narrow" w:cs="Times New Roman"/>
          <w:b/>
          <w:sz w:val="24"/>
          <w:szCs w:val="24"/>
          <w:lang w:eastAsia="el-GR"/>
        </w:rPr>
      </w:pPr>
      <w:r w:rsidRPr="00376638">
        <w:rPr>
          <w:rFonts w:ascii="Arial Narrow" w:eastAsia="Times New Roman" w:hAnsi="Arial Narrow" w:cs="Times New Roman"/>
          <w:b/>
          <w:noProof/>
          <w:sz w:val="24"/>
          <w:szCs w:val="24"/>
          <w:lang w:eastAsia="el-GR"/>
        </w:rPr>
        <w:drawing>
          <wp:inline distT="0" distB="0" distL="0" distR="0" wp14:anchorId="0F0E977C" wp14:editId="3DD6398D">
            <wp:extent cx="5486400" cy="3486150"/>
            <wp:effectExtent l="0" t="0" r="19050" b="1905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376638" w:rsidRPr="00F8797A" w:rsidRDefault="00376638" w:rsidP="00DB77D0">
      <w:pPr>
        <w:spacing w:after="0" w:line="240" w:lineRule="auto"/>
        <w:jc w:val="both"/>
        <w:rPr>
          <w:rFonts w:ascii="Arial Narrow" w:eastAsia="Times New Roman" w:hAnsi="Arial Narrow" w:cs="Times New Roman"/>
          <w:b/>
          <w:sz w:val="24"/>
          <w:szCs w:val="24"/>
          <w:lang w:eastAsia="el-GR"/>
        </w:rPr>
      </w:pPr>
    </w:p>
    <w:p w:rsidR="005941FC" w:rsidRPr="00DB77D0" w:rsidRDefault="005941FC" w:rsidP="005941FC">
      <w:pPr>
        <w:spacing w:after="0" w:line="240" w:lineRule="auto"/>
        <w:jc w:val="both"/>
        <w:rPr>
          <w:rFonts w:ascii="Arial Narrow" w:eastAsia="Times New Roman" w:hAnsi="Arial Narrow" w:cs="Times New Roman"/>
          <w:color w:val="FF0000"/>
          <w:sz w:val="24"/>
          <w:szCs w:val="24"/>
          <w:lang w:eastAsia="el-GR"/>
        </w:rPr>
      </w:pPr>
      <w:r w:rsidRPr="005941FC">
        <w:rPr>
          <w:rFonts w:ascii="Arial Narrow" w:eastAsia="Times New Roman" w:hAnsi="Arial Narrow" w:cs="Times New Roman"/>
          <w:sz w:val="20"/>
          <w:szCs w:val="20"/>
          <w:u w:val="single"/>
          <w:lang w:eastAsia="el-GR"/>
        </w:rPr>
        <w:t xml:space="preserve"> </w:t>
      </w:r>
    </w:p>
    <w:p w:rsidR="005941FC" w:rsidRPr="002E6F5D" w:rsidRDefault="00F8797A" w:rsidP="002E6F5D">
      <w:pPr>
        <w:pStyle w:val="a5"/>
        <w:numPr>
          <w:ilvl w:val="0"/>
          <w:numId w:val="20"/>
        </w:numPr>
        <w:spacing w:after="0" w:line="240" w:lineRule="auto"/>
        <w:rPr>
          <w:rFonts w:ascii="Times New Roman" w:eastAsia="Times New Roman" w:hAnsi="Times New Roman" w:cs="Times New Roman"/>
          <w:b/>
          <w:sz w:val="24"/>
          <w:szCs w:val="24"/>
          <w:u w:val="single"/>
          <w:lang w:eastAsia="el-GR"/>
        </w:rPr>
      </w:pPr>
      <w:r w:rsidRPr="002E6F5D">
        <w:rPr>
          <w:rFonts w:ascii="Times New Roman" w:eastAsia="Times New Roman" w:hAnsi="Times New Roman" w:cs="Times New Roman"/>
          <w:b/>
          <w:sz w:val="24"/>
          <w:szCs w:val="24"/>
          <w:u w:val="single"/>
          <w:lang w:eastAsia="el-GR"/>
        </w:rPr>
        <w:t>ΕΙΔΙΚΟ ΘΕΜΑ ΜΙΚΡΩΝ ΕΠΙΧΕΙΡΗΣΕΩΝ - ΔΙΑΚΟΠΕΣ</w:t>
      </w:r>
    </w:p>
    <w:p w:rsidR="00376638" w:rsidRPr="002E6F5D" w:rsidRDefault="002E6F5D" w:rsidP="002E6F5D">
      <w:pPr>
        <w:spacing w:after="0" w:line="360" w:lineRule="auto"/>
        <w:contextualSpacing/>
        <w:jc w:val="both"/>
        <w:rPr>
          <w:rFonts w:ascii="Times New Roman" w:eastAsia="Calibri" w:hAnsi="Times New Roman" w:cs="Times New Roman"/>
          <w:sz w:val="24"/>
          <w:szCs w:val="24"/>
        </w:rPr>
      </w:pPr>
      <w:r w:rsidRPr="002E6F5D">
        <w:rPr>
          <w:rFonts w:ascii="Times New Roman" w:eastAsia="Calibri" w:hAnsi="Times New Roman" w:cs="Times New Roman"/>
          <w:sz w:val="24"/>
          <w:szCs w:val="24"/>
        </w:rPr>
        <w:t>Ελαφρά αυξημένος είναι ο αριθμός των επαγγελματιών σε σχέση με την αντίστοιχη περσινή έρευνα που δήλωσαν ότι θα κάνουν διακοπές. Συγκεκριμένα το 42,2% (34,9% το 2018) δήλωσε ότι θα κάνει διακοπές για τον ίδιο ή και μεγαλύτερο αριθμό ημερών σε σχέση με πέρυσι, ενώ αν και μειωμένο ένα σταθερά υψηλό ποσοστό, συγκεκριμένα το 43,9% (56,3% το 2017) δήλωσε ότι δεν θα κάνει διακοπές (Γράφημα 33).</w:t>
      </w:r>
    </w:p>
    <w:p w:rsidR="00376638" w:rsidRPr="002E6F5D" w:rsidRDefault="00376638" w:rsidP="005941FC">
      <w:pPr>
        <w:contextualSpacing/>
        <w:jc w:val="both"/>
        <w:rPr>
          <w:rFonts w:ascii="Times New Roman" w:eastAsia="Calibri" w:hAnsi="Times New Roman" w:cs="Times New Roman"/>
          <w:sz w:val="24"/>
          <w:szCs w:val="24"/>
        </w:rPr>
      </w:pPr>
      <w:r w:rsidRPr="002E6F5D">
        <w:rPr>
          <w:rFonts w:ascii="Times New Roman" w:eastAsia="Calibri" w:hAnsi="Times New Roman" w:cs="Times New Roman"/>
          <w:sz w:val="24"/>
          <w:szCs w:val="24"/>
        </w:rPr>
        <w:t>Γράφημα 33:  Θα φύγετε φέτος για διακοπές;</w:t>
      </w:r>
    </w:p>
    <w:p w:rsidR="00376638" w:rsidRPr="00F8797A" w:rsidRDefault="00376638" w:rsidP="005941FC">
      <w:pPr>
        <w:contextualSpacing/>
        <w:jc w:val="both"/>
        <w:rPr>
          <w:rFonts w:ascii="Arial Narrow" w:eastAsia="Calibri" w:hAnsi="Arial Narrow" w:cs="Times New Roman"/>
        </w:rPr>
      </w:pPr>
    </w:p>
    <w:p w:rsidR="005941FC" w:rsidRPr="002E6F5D" w:rsidRDefault="00376638" w:rsidP="002E6F5D">
      <w:pPr>
        <w:spacing w:after="0" w:line="240" w:lineRule="auto"/>
        <w:jc w:val="both"/>
        <w:rPr>
          <w:rFonts w:ascii="Arial Narrow" w:eastAsia="Times New Roman" w:hAnsi="Arial Narrow" w:cs="Times New Roman"/>
          <w:sz w:val="24"/>
          <w:szCs w:val="24"/>
          <w:lang w:eastAsia="el-GR"/>
        </w:rPr>
      </w:pPr>
      <w:r w:rsidRPr="00376638">
        <w:rPr>
          <w:rFonts w:ascii="Arial Narrow" w:eastAsia="Times New Roman" w:hAnsi="Arial Narrow" w:cs="Times New Roman"/>
          <w:noProof/>
          <w:sz w:val="24"/>
          <w:szCs w:val="24"/>
          <w:lang w:eastAsia="el-GR"/>
        </w:rPr>
        <w:drawing>
          <wp:inline distT="0" distB="0" distL="0" distR="0" wp14:anchorId="3A6369D3" wp14:editId="12DF86B7">
            <wp:extent cx="6362700" cy="1495425"/>
            <wp:effectExtent l="0" t="0" r="19050" b="9525"/>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5941FC" w:rsidRPr="005941FC" w:rsidRDefault="005941FC" w:rsidP="005941FC">
      <w:pPr>
        <w:spacing w:after="0" w:line="240" w:lineRule="auto"/>
        <w:jc w:val="center"/>
        <w:rPr>
          <w:rFonts w:ascii="Arial Narrow" w:eastAsia="Times New Roman" w:hAnsi="Arial Narrow" w:cs="Times New Roman"/>
          <w:sz w:val="24"/>
          <w:szCs w:val="24"/>
          <w:u w:val="single"/>
          <w:lang w:eastAsia="el-GR"/>
        </w:rPr>
      </w:pPr>
      <w:r w:rsidRPr="005941FC">
        <w:rPr>
          <w:rFonts w:ascii="Arial Narrow" w:eastAsia="Times New Roman" w:hAnsi="Arial Narrow" w:cs="Times New Roman"/>
          <w:sz w:val="24"/>
          <w:szCs w:val="24"/>
          <w:u w:val="single"/>
          <w:lang w:eastAsia="el-GR"/>
        </w:rPr>
        <w:lastRenderedPageBreak/>
        <w:t xml:space="preserve">ΠΑΡΑΡΤΗΜΑ </w:t>
      </w:r>
      <w:r w:rsidRPr="005941FC">
        <w:rPr>
          <w:rFonts w:ascii="Arial Narrow" w:eastAsia="Times New Roman" w:hAnsi="Arial Narrow" w:cs="Times New Roman"/>
          <w:sz w:val="24"/>
          <w:szCs w:val="24"/>
          <w:u w:val="single"/>
          <w:lang w:val="en-US" w:eastAsia="el-GR"/>
        </w:rPr>
        <w:t>I</w:t>
      </w:r>
      <w:r w:rsidRPr="005941FC">
        <w:rPr>
          <w:rFonts w:ascii="Arial Narrow" w:eastAsia="Times New Roman" w:hAnsi="Arial Narrow" w:cs="Times New Roman"/>
          <w:sz w:val="24"/>
          <w:szCs w:val="24"/>
          <w:u w:val="single"/>
          <w:lang w:eastAsia="el-GR"/>
        </w:rPr>
        <w:t>: ΔΕΙΚΤΕΣ</w:t>
      </w:r>
      <w:r w:rsidR="0050739F">
        <w:rPr>
          <w:rFonts w:ascii="Arial Narrow" w:eastAsia="Times New Roman" w:hAnsi="Arial Narrow" w:cs="Times New Roman"/>
          <w:sz w:val="24"/>
          <w:szCs w:val="24"/>
          <w:u w:val="single"/>
          <w:lang w:eastAsia="el-GR"/>
        </w:rPr>
        <w:t xml:space="preserve"> ΟΙΚΟΝΟΜΙΚΟΥ ΚΛΙΜΑΤΟΣ (20</w:t>
      </w:r>
      <w:r w:rsidR="00495336">
        <w:rPr>
          <w:rFonts w:ascii="Arial Narrow" w:eastAsia="Times New Roman" w:hAnsi="Arial Narrow" w:cs="Times New Roman"/>
          <w:sz w:val="24"/>
          <w:szCs w:val="24"/>
          <w:u w:val="single"/>
          <w:lang w:eastAsia="el-GR"/>
        </w:rPr>
        <w:t>09</w:t>
      </w:r>
      <w:r w:rsidR="0050739F">
        <w:rPr>
          <w:rFonts w:ascii="Arial Narrow" w:eastAsia="Times New Roman" w:hAnsi="Arial Narrow" w:cs="Times New Roman"/>
          <w:sz w:val="24"/>
          <w:szCs w:val="24"/>
          <w:u w:val="single"/>
          <w:lang w:eastAsia="el-GR"/>
        </w:rPr>
        <w:t>-2019</w:t>
      </w:r>
      <w:r w:rsidRPr="005941FC">
        <w:rPr>
          <w:rFonts w:ascii="Arial Narrow" w:eastAsia="Times New Roman" w:hAnsi="Arial Narrow" w:cs="Times New Roman"/>
          <w:sz w:val="24"/>
          <w:szCs w:val="24"/>
          <w:u w:val="single"/>
          <w:lang w:eastAsia="el-GR"/>
        </w:rPr>
        <w:t>)</w:t>
      </w:r>
    </w:p>
    <w:p w:rsidR="005941FC" w:rsidRPr="005941FC" w:rsidRDefault="005941FC" w:rsidP="005941FC">
      <w:pPr>
        <w:spacing w:after="0" w:line="240" w:lineRule="auto"/>
        <w:rPr>
          <w:rFonts w:ascii="Arial Narrow" w:eastAsia="Times New Roman" w:hAnsi="Arial Narrow" w:cs="Times New Roman"/>
          <w:sz w:val="24"/>
          <w:szCs w:val="24"/>
          <w:u w:val="single"/>
          <w:lang w:eastAsia="el-GR"/>
        </w:rPr>
      </w:pPr>
    </w:p>
    <w:p w:rsidR="005941FC" w:rsidRDefault="005941FC" w:rsidP="005941FC">
      <w:pPr>
        <w:spacing w:after="0" w:line="240" w:lineRule="auto"/>
        <w:rPr>
          <w:rFonts w:ascii="Arial Narrow" w:eastAsia="Times New Roman" w:hAnsi="Arial Narrow" w:cs="Times New Roman"/>
          <w:b/>
          <w:sz w:val="24"/>
          <w:szCs w:val="24"/>
          <w:u w:val="single"/>
          <w:lang w:eastAsia="el-GR"/>
        </w:rPr>
      </w:pPr>
      <w:r w:rsidRPr="005941FC">
        <w:rPr>
          <w:rFonts w:ascii="Arial Narrow" w:eastAsia="Times New Roman" w:hAnsi="Arial Narrow" w:cs="Times New Roman"/>
          <w:b/>
          <w:sz w:val="24"/>
          <w:szCs w:val="24"/>
          <w:u w:val="single"/>
          <w:lang w:eastAsia="el-GR"/>
        </w:rPr>
        <w:t>ΑΠΟΤΙΜΗΣΗ</w:t>
      </w:r>
      <w:r w:rsidR="00364601">
        <w:rPr>
          <w:rFonts w:ascii="Arial Narrow" w:eastAsia="Times New Roman" w:hAnsi="Arial Narrow" w:cs="Times New Roman"/>
          <w:b/>
          <w:sz w:val="24"/>
          <w:szCs w:val="24"/>
          <w:u w:val="single"/>
          <w:lang w:eastAsia="el-GR"/>
        </w:rPr>
        <w:t xml:space="preserve"> / ΠΡΟΒΛΕΨΗ</w:t>
      </w:r>
      <w:r w:rsidRPr="005941FC">
        <w:rPr>
          <w:rFonts w:ascii="Arial Narrow" w:eastAsia="Times New Roman" w:hAnsi="Arial Narrow" w:cs="Times New Roman"/>
          <w:b/>
          <w:sz w:val="24"/>
          <w:szCs w:val="24"/>
          <w:u w:val="single"/>
          <w:lang w:eastAsia="el-GR"/>
        </w:rPr>
        <w:t xml:space="preserve"> ΕΞΑΜΗΝΩΝ</w:t>
      </w:r>
    </w:p>
    <w:p w:rsidR="000129C8" w:rsidRDefault="000129C8" w:rsidP="005941FC">
      <w:pPr>
        <w:spacing w:after="0" w:line="240" w:lineRule="auto"/>
        <w:rPr>
          <w:rFonts w:ascii="Arial Narrow" w:eastAsia="Times New Roman" w:hAnsi="Arial Narrow" w:cs="Times New Roman"/>
          <w:b/>
          <w:sz w:val="24"/>
          <w:szCs w:val="24"/>
          <w:u w:val="single"/>
          <w:lang w:eastAsia="el-GR"/>
        </w:rPr>
      </w:pPr>
    </w:p>
    <w:p w:rsidR="005941FC" w:rsidRDefault="000129C8" w:rsidP="005941FC">
      <w:pPr>
        <w:spacing w:after="0" w:line="240" w:lineRule="auto"/>
        <w:rPr>
          <w:rFonts w:ascii="Arial Narrow" w:eastAsia="Times New Roman" w:hAnsi="Arial Narrow" w:cs="Times New Roman"/>
          <w:b/>
          <w:sz w:val="24"/>
          <w:szCs w:val="24"/>
          <w:u w:val="single"/>
          <w:lang w:eastAsia="el-GR"/>
        </w:rPr>
      </w:pPr>
      <w:r>
        <w:rPr>
          <w:noProof/>
          <w:lang w:eastAsia="el-GR"/>
        </w:rPr>
        <w:drawing>
          <wp:inline distT="0" distB="0" distL="0" distR="0" wp14:anchorId="54C3E292" wp14:editId="10B83D14">
            <wp:extent cx="6381750" cy="2409825"/>
            <wp:effectExtent l="0" t="0" r="19050" b="9525"/>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2E6F5D" w:rsidRDefault="002E6F5D" w:rsidP="005941FC">
      <w:pPr>
        <w:spacing w:after="0" w:line="240" w:lineRule="auto"/>
        <w:rPr>
          <w:rFonts w:ascii="Arial Narrow" w:eastAsia="Times New Roman" w:hAnsi="Arial Narrow" w:cs="Times New Roman"/>
          <w:b/>
          <w:sz w:val="24"/>
          <w:szCs w:val="24"/>
          <w:u w:val="single"/>
          <w:lang w:eastAsia="el-GR"/>
        </w:rPr>
      </w:pPr>
    </w:p>
    <w:p w:rsidR="00816B51" w:rsidRDefault="0023250B" w:rsidP="005941FC">
      <w:pPr>
        <w:spacing w:after="0" w:line="240" w:lineRule="auto"/>
        <w:rPr>
          <w:rFonts w:ascii="Arial Narrow" w:eastAsia="Times New Roman" w:hAnsi="Arial Narrow" w:cs="Times New Roman"/>
          <w:b/>
          <w:sz w:val="24"/>
          <w:szCs w:val="24"/>
          <w:u w:val="single"/>
          <w:lang w:eastAsia="el-GR"/>
        </w:rPr>
      </w:pPr>
      <w:r>
        <w:rPr>
          <w:noProof/>
          <w:lang w:eastAsia="el-GR"/>
        </w:rPr>
        <w:drawing>
          <wp:inline distT="0" distB="0" distL="0" distR="0" wp14:anchorId="714A9925" wp14:editId="601C5DA9">
            <wp:extent cx="6381750" cy="2667000"/>
            <wp:effectExtent l="0" t="0" r="19050" b="190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2E6F5D" w:rsidRDefault="002E6F5D" w:rsidP="005941FC">
      <w:pPr>
        <w:spacing w:after="0" w:line="240" w:lineRule="auto"/>
        <w:rPr>
          <w:rFonts w:ascii="Arial Narrow" w:eastAsia="Times New Roman" w:hAnsi="Arial Narrow" w:cs="Times New Roman"/>
          <w:b/>
          <w:sz w:val="24"/>
          <w:szCs w:val="24"/>
          <w:u w:val="single"/>
          <w:lang w:eastAsia="el-GR"/>
        </w:rPr>
      </w:pPr>
    </w:p>
    <w:p w:rsidR="002E6F5D" w:rsidRDefault="00027634" w:rsidP="005941FC">
      <w:pPr>
        <w:spacing w:after="0" w:line="240" w:lineRule="auto"/>
        <w:rPr>
          <w:rFonts w:ascii="Arial Narrow" w:eastAsia="Times New Roman" w:hAnsi="Arial Narrow" w:cs="Times New Roman"/>
          <w:b/>
          <w:sz w:val="24"/>
          <w:szCs w:val="24"/>
          <w:u w:val="single"/>
          <w:lang w:eastAsia="el-GR"/>
        </w:rPr>
      </w:pPr>
      <w:r>
        <w:rPr>
          <w:noProof/>
          <w:lang w:eastAsia="el-GR"/>
        </w:rPr>
        <w:drawing>
          <wp:inline distT="0" distB="0" distL="0" distR="0" wp14:anchorId="0AA7455F" wp14:editId="0ED23E42">
            <wp:extent cx="6267450" cy="2466975"/>
            <wp:effectExtent l="0" t="0" r="19050" b="952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5941FC" w:rsidRPr="002E6F5D" w:rsidRDefault="005941FC" w:rsidP="005941FC">
      <w:pPr>
        <w:spacing w:after="0" w:line="240" w:lineRule="auto"/>
        <w:rPr>
          <w:rFonts w:ascii="Arial Narrow" w:eastAsia="Times New Roman" w:hAnsi="Arial Narrow" w:cs="Times New Roman"/>
          <w:b/>
          <w:sz w:val="24"/>
          <w:szCs w:val="24"/>
          <w:u w:val="single"/>
          <w:lang w:eastAsia="el-GR"/>
        </w:rPr>
      </w:pPr>
      <w:r w:rsidRPr="005941FC">
        <w:rPr>
          <w:rFonts w:ascii="Arial Narrow" w:eastAsia="Times New Roman" w:hAnsi="Arial Narrow" w:cs="Times New Roman"/>
          <w:sz w:val="24"/>
          <w:szCs w:val="24"/>
          <w:u w:val="single"/>
          <w:lang w:eastAsia="el-GR"/>
        </w:rPr>
        <w:lastRenderedPageBreak/>
        <w:br w:type="textWrapping" w:clear="all"/>
        <w:t xml:space="preserve"> </w:t>
      </w:r>
      <w:r w:rsidR="00027634">
        <w:rPr>
          <w:noProof/>
          <w:lang w:eastAsia="el-GR"/>
        </w:rPr>
        <w:drawing>
          <wp:inline distT="0" distB="0" distL="0" distR="0" wp14:anchorId="1E3DD719" wp14:editId="45719A98">
            <wp:extent cx="5953125" cy="2286000"/>
            <wp:effectExtent l="0" t="0" r="9525" b="1905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5941FC" w:rsidRDefault="005941FC" w:rsidP="005941FC">
      <w:pPr>
        <w:spacing w:after="0" w:line="240" w:lineRule="auto"/>
        <w:rPr>
          <w:rFonts w:ascii="Arial Narrow" w:eastAsia="Times New Roman" w:hAnsi="Arial Narrow" w:cs="Times New Roman"/>
          <w:sz w:val="24"/>
          <w:szCs w:val="24"/>
          <w:u w:val="single"/>
          <w:lang w:eastAsia="el-GR"/>
        </w:rPr>
      </w:pPr>
    </w:p>
    <w:p w:rsidR="00027634" w:rsidRDefault="00027634" w:rsidP="005941FC">
      <w:pPr>
        <w:spacing w:after="0" w:line="240" w:lineRule="auto"/>
        <w:rPr>
          <w:rFonts w:ascii="Arial Narrow" w:eastAsia="Times New Roman" w:hAnsi="Arial Narrow" w:cs="Times New Roman"/>
          <w:sz w:val="24"/>
          <w:szCs w:val="24"/>
          <w:u w:val="single"/>
          <w:lang w:eastAsia="el-GR"/>
        </w:rPr>
      </w:pPr>
      <w:r>
        <w:rPr>
          <w:noProof/>
          <w:lang w:eastAsia="el-GR"/>
        </w:rPr>
        <w:drawing>
          <wp:inline distT="0" distB="0" distL="0" distR="0" wp14:anchorId="52C4D46D" wp14:editId="184CBD55">
            <wp:extent cx="5991225" cy="2800350"/>
            <wp:effectExtent l="0" t="0" r="9525" b="1905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027634" w:rsidRPr="005941FC" w:rsidRDefault="00027634" w:rsidP="005941FC">
      <w:pPr>
        <w:spacing w:after="0" w:line="240" w:lineRule="auto"/>
        <w:rPr>
          <w:rFonts w:ascii="Arial Narrow" w:eastAsia="Times New Roman" w:hAnsi="Arial Narrow" w:cs="Times New Roman"/>
          <w:sz w:val="24"/>
          <w:szCs w:val="24"/>
          <w:u w:val="single"/>
          <w:lang w:eastAsia="el-GR"/>
        </w:rPr>
      </w:pPr>
    </w:p>
    <w:p w:rsidR="005941FC" w:rsidRPr="005941FC" w:rsidRDefault="005941FC" w:rsidP="005941FC">
      <w:pPr>
        <w:spacing w:after="0" w:line="240" w:lineRule="auto"/>
        <w:rPr>
          <w:rFonts w:ascii="Arial Narrow" w:eastAsia="Times New Roman" w:hAnsi="Arial Narrow" w:cs="Times New Roman"/>
          <w:sz w:val="24"/>
          <w:szCs w:val="24"/>
          <w:u w:val="single"/>
          <w:lang w:eastAsia="el-GR"/>
        </w:rPr>
      </w:pPr>
      <w:r w:rsidRPr="005941FC">
        <w:rPr>
          <w:rFonts w:ascii="Arial Narrow" w:eastAsia="Times New Roman" w:hAnsi="Arial Narrow" w:cs="Times New Roman"/>
          <w:sz w:val="24"/>
          <w:szCs w:val="24"/>
          <w:u w:val="single"/>
          <w:lang w:eastAsia="el-GR"/>
        </w:rPr>
        <w:br w:type="textWrapping" w:clear="all"/>
      </w:r>
      <w:r w:rsidR="00027634">
        <w:rPr>
          <w:noProof/>
          <w:lang w:eastAsia="el-GR"/>
        </w:rPr>
        <w:drawing>
          <wp:inline distT="0" distB="0" distL="0" distR="0" wp14:anchorId="4CDB6E42" wp14:editId="6E20B2E0">
            <wp:extent cx="5991225" cy="2647950"/>
            <wp:effectExtent l="0" t="0" r="9525" b="1905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5941FC" w:rsidRPr="005941FC" w:rsidRDefault="005941FC" w:rsidP="005941FC">
      <w:pPr>
        <w:spacing w:after="0" w:line="240" w:lineRule="auto"/>
        <w:rPr>
          <w:rFonts w:ascii="Arial Narrow" w:eastAsia="Times New Roman" w:hAnsi="Arial Narrow" w:cs="Times New Roman"/>
          <w:sz w:val="24"/>
          <w:szCs w:val="24"/>
          <w:u w:val="single"/>
          <w:lang w:eastAsia="el-GR"/>
        </w:rPr>
      </w:pPr>
    </w:p>
    <w:p w:rsidR="005941FC" w:rsidRPr="005941FC" w:rsidRDefault="005941FC" w:rsidP="005941FC">
      <w:pPr>
        <w:spacing w:after="0" w:line="240" w:lineRule="auto"/>
        <w:rPr>
          <w:rFonts w:ascii="Arial Narrow" w:eastAsia="Times New Roman" w:hAnsi="Arial Narrow" w:cs="Times New Roman"/>
          <w:sz w:val="24"/>
          <w:szCs w:val="24"/>
          <w:u w:val="single"/>
          <w:lang w:eastAsia="el-GR"/>
        </w:rPr>
      </w:pPr>
    </w:p>
    <w:p w:rsidR="005941FC" w:rsidRPr="005941FC" w:rsidRDefault="005941FC" w:rsidP="005941FC">
      <w:pPr>
        <w:spacing w:after="0" w:line="240" w:lineRule="auto"/>
        <w:rPr>
          <w:rFonts w:ascii="Arial Narrow" w:eastAsia="Times New Roman" w:hAnsi="Arial Narrow" w:cs="Times New Roman"/>
          <w:sz w:val="24"/>
          <w:szCs w:val="24"/>
          <w:u w:val="single"/>
          <w:lang w:eastAsia="el-GR"/>
        </w:rPr>
      </w:pPr>
    </w:p>
    <w:p w:rsidR="005941FC" w:rsidRPr="005941FC" w:rsidRDefault="00027634" w:rsidP="005941FC">
      <w:pPr>
        <w:spacing w:after="0" w:line="240" w:lineRule="auto"/>
        <w:rPr>
          <w:rFonts w:ascii="Arial Narrow" w:eastAsia="Times New Roman" w:hAnsi="Arial Narrow" w:cs="Times New Roman"/>
          <w:sz w:val="24"/>
          <w:szCs w:val="24"/>
          <w:u w:val="single"/>
          <w:lang w:eastAsia="el-GR"/>
        </w:rPr>
      </w:pPr>
      <w:r>
        <w:rPr>
          <w:noProof/>
          <w:lang w:eastAsia="el-GR"/>
        </w:rPr>
        <w:drawing>
          <wp:inline distT="0" distB="0" distL="0" distR="0" wp14:anchorId="57CEEB22" wp14:editId="07BA58BB">
            <wp:extent cx="5486400" cy="2308225"/>
            <wp:effectExtent l="0" t="0" r="19050" b="1587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5941FC" w:rsidRPr="005941FC" w:rsidRDefault="005941FC" w:rsidP="005941FC">
      <w:pPr>
        <w:spacing w:after="0" w:line="240" w:lineRule="auto"/>
        <w:rPr>
          <w:rFonts w:ascii="Arial Narrow" w:eastAsia="Times New Roman" w:hAnsi="Arial Narrow" w:cs="Times New Roman"/>
          <w:sz w:val="24"/>
          <w:szCs w:val="24"/>
          <w:u w:val="single"/>
          <w:lang w:eastAsia="el-GR"/>
        </w:rPr>
      </w:pPr>
    </w:p>
    <w:p w:rsidR="005941FC" w:rsidRPr="005941FC" w:rsidRDefault="005941FC" w:rsidP="005941FC">
      <w:pPr>
        <w:spacing w:after="0" w:line="240" w:lineRule="auto"/>
        <w:rPr>
          <w:rFonts w:ascii="Arial Narrow" w:eastAsia="Times New Roman" w:hAnsi="Arial Narrow" w:cs="Times New Roman"/>
          <w:sz w:val="24"/>
          <w:szCs w:val="24"/>
          <w:u w:val="single"/>
          <w:lang w:eastAsia="el-GR"/>
        </w:rPr>
      </w:pPr>
    </w:p>
    <w:p w:rsidR="00255CE9" w:rsidRDefault="00255CE9" w:rsidP="00255CE9"/>
    <w:sectPr w:rsidR="00255CE9" w:rsidSect="00127BF9">
      <w:headerReference w:type="default" r:id="rId49"/>
      <w:footerReference w:type="default" r:id="rId50"/>
      <w:pgSz w:w="11906" w:h="16838"/>
      <w:pgMar w:top="1440" w:right="849" w:bottom="1440" w:left="709"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9D8" w:rsidRDefault="001159D8" w:rsidP="005D11CC">
      <w:pPr>
        <w:spacing w:after="0" w:line="240" w:lineRule="auto"/>
      </w:pPr>
      <w:r>
        <w:separator/>
      </w:r>
    </w:p>
  </w:endnote>
  <w:endnote w:type="continuationSeparator" w:id="0">
    <w:p w:rsidR="001159D8" w:rsidRDefault="001159D8" w:rsidP="005D1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Arial Black">
    <w:panose1 w:val="020B0A04020102020204"/>
    <w:charset w:val="A1"/>
    <w:family w:val="swiss"/>
    <w:pitch w:val="variable"/>
    <w:sig w:usb0="A00002AF" w:usb1="400078FB" w:usb2="00000000" w:usb3="00000000" w:csb0="0000009F" w:csb1="00000000"/>
  </w:font>
  <w:font w:name="Arial Narrow">
    <w:panose1 w:val="020B0606020202030204"/>
    <w:charset w:val="A1"/>
    <w:family w:val="swiss"/>
    <w:pitch w:val="variable"/>
    <w:sig w:usb0="00000287" w:usb1="00000800" w:usb2="00000000" w:usb3="00000000" w:csb0="0000009F" w:csb1="00000000"/>
  </w:font>
  <w:font w:name="Microsoft Sans Serif">
    <w:panose1 w:val="020B0604020202020204"/>
    <w:charset w:val="A1"/>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8854802"/>
      <w:docPartObj>
        <w:docPartGallery w:val="Page Numbers (Bottom of Page)"/>
        <w:docPartUnique/>
      </w:docPartObj>
    </w:sdtPr>
    <w:sdtEndPr>
      <w:rPr>
        <w:noProof/>
      </w:rPr>
    </w:sdtEndPr>
    <w:sdtContent>
      <w:p w:rsidR="00A44503" w:rsidRDefault="00A44503">
        <w:pPr>
          <w:pStyle w:val="aa"/>
          <w:jc w:val="right"/>
        </w:pPr>
        <w:r>
          <w:fldChar w:fldCharType="begin"/>
        </w:r>
        <w:r>
          <w:instrText xml:space="preserve"> PAGE   \* MERGEFORMAT </w:instrText>
        </w:r>
        <w:r>
          <w:fldChar w:fldCharType="separate"/>
        </w:r>
        <w:r w:rsidR="00127BF9">
          <w:rPr>
            <w:noProof/>
          </w:rPr>
          <w:t>37</w:t>
        </w:r>
        <w:r>
          <w:rPr>
            <w:noProof/>
          </w:rPr>
          <w:fldChar w:fldCharType="end"/>
        </w:r>
      </w:p>
    </w:sdtContent>
  </w:sdt>
  <w:p w:rsidR="00A44503" w:rsidRDefault="00A4450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9D8" w:rsidRDefault="001159D8" w:rsidP="005D11CC">
      <w:pPr>
        <w:spacing w:after="0" w:line="240" w:lineRule="auto"/>
      </w:pPr>
      <w:r>
        <w:separator/>
      </w:r>
    </w:p>
  </w:footnote>
  <w:footnote w:type="continuationSeparator" w:id="0">
    <w:p w:rsidR="001159D8" w:rsidRDefault="001159D8" w:rsidP="005D11CC">
      <w:pPr>
        <w:spacing w:after="0" w:line="240" w:lineRule="auto"/>
      </w:pPr>
      <w:r>
        <w:continuationSeparator/>
      </w:r>
    </w:p>
  </w:footnote>
  <w:footnote w:id="1">
    <w:p w:rsidR="00A44503" w:rsidRDefault="00A44503">
      <w:pPr>
        <w:pStyle w:val="a7"/>
      </w:pPr>
      <w:r>
        <w:rPr>
          <w:rStyle w:val="a8"/>
        </w:rPr>
        <w:footnoteRef/>
      </w:r>
      <w:r>
        <w:t xml:space="preserve"> Δελτίο Τύπου ΕΛΣΤΑΤ: Τριμηνιαίοι Εθνικοί Λογαριασμοί – 1</w:t>
      </w:r>
      <w:r w:rsidRPr="00C35AA2">
        <w:rPr>
          <w:vertAlign w:val="superscript"/>
        </w:rPr>
        <w:t>ο</w:t>
      </w:r>
      <w:r>
        <w:t xml:space="preserve"> τρίμηνο 2019/1</w:t>
      </w:r>
      <w:r w:rsidRPr="00C35AA2">
        <w:rPr>
          <w:vertAlign w:val="superscript"/>
        </w:rPr>
        <w:t>ο</w:t>
      </w:r>
      <w:r>
        <w:t xml:space="preserve"> τρίμηνο 2018</w:t>
      </w:r>
    </w:p>
  </w:footnote>
  <w:footnote w:id="2">
    <w:p w:rsidR="00A958F9" w:rsidRPr="00A958F9" w:rsidRDefault="00A958F9">
      <w:pPr>
        <w:pStyle w:val="a7"/>
      </w:pPr>
      <w:r>
        <w:rPr>
          <w:rStyle w:val="a8"/>
        </w:rPr>
        <w:footnoteRef/>
      </w:r>
      <w:r w:rsidRPr="00A958F9">
        <w:t xml:space="preserve"> Τριμηνιαίοι Εθνικοί Λογαριασμοί ΕΛΣΤΑΤ – 1ο τρίμηνο 2019</w:t>
      </w:r>
    </w:p>
  </w:footnote>
  <w:footnote w:id="3">
    <w:p w:rsidR="004655E7" w:rsidRPr="004655E7" w:rsidRDefault="004655E7">
      <w:pPr>
        <w:pStyle w:val="a7"/>
        <w:rPr>
          <w:lang w:val="en-US"/>
        </w:rPr>
      </w:pPr>
      <w:r>
        <w:rPr>
          <w:rStyle w:val="a8"/>
        </w:rPr>
        <w:footnoteRef/>
      </w:r>
      <w:r w:rsidRPr="004655E7">
        <w:rPr>
          <w:lang w:val="en-US"/>
        </w:rPr>
        <w:t xml:space="preserve"> The EU Craft and SME Barometer – Spring 2019 – SME United</w:t>
      </w:r>
    </w:p>
  </w:footnote>
  <w:footnote w:id="4">
    <w:p w:rsidR="00A44503" w:rsidRDefault="00A44503" w:rsidP="00D576B6">
      <w:pPr>
        <w:pStyle w:val="a7"/>
      </w:pPr>
      <w:r>
        <w:rPr>
          <w:rStyle w:val="a8"/>
        </w:rPr>
        <w:footnoteRef/>
      </w:r>
      <w:r>
        <w:t xml:space="preserve"> Δελτίο Τύπου ΕΛΣΤΑΤ: Δείκτης κύκλου εργασιών στην Βιομηχανία - Μάιος 2019</w:t>
      </w:r>
    </w:p>
  </w:footnote>
  <w:footnote w:id="5">
    <w:p w:rsidR="00A44503" w:rsidRDefault="00A44503" w:rsidP="00D576B6">
      <w:pPr>
        <w:pStyle w:val="a7"/>
      </w:pPr>
      <w:r>
        <w:rPr>
          <w:rStyle w:val="a8"/>
        </w:rPr>
        <w:footnoteRef/>
      </w:r>
      <w:r>
        <w:t xml:space="preserve"> Δελτίο Τύπου ΕΛΣΤΑΤ: Δείκτης κύκλου εργασιών στο Λιανικό Εμπόριο - Μάιος 2019 </w:t>
      </w:r>
    </w:p>
  </w:footnote>
  <w:footnote w:id="6">
    <w:p w:rsidR="00A44503" w:rsidRDefault="00A44503" w:rsidP="00D576B6">
      <w:pPr>
        <w:pStyle w:val="a7"/>
      </w:pPr>
      <w:r>
        <w:rPr>
          <w:rStyle w:val="a8"/>
        </w:rPr>
        <w:footnoteRef/>
      </w:r>
      <w:r>
        <w:t xml:space="preserve"> Δελτίο Τύπου ΕΛΣΤΑΤ: Δείκτης κύκλου εργασιών στο Χονδρικό Εμπόριο – Α Τρίμηνο 2019</w:t>
      </w:r>
    </w:p>
  </w:footnote>
  <w:footnote w:id="7">
    <w:p w:rsidR="00A44503" w:rsidRDefault="00A44503" w:rsidP="00D576B6">
      <w:pPr>
        <w:pStyle w:val="a7"/>
      </w:pPr>
      <w:r>
        <w:rPr>
          <w:rStyle w:val="a8"/>
        </w:rPr>
        <w:footnoteRef/>
      </w:r>
      <w:r>
        <w:t xml:space="preserve"> Δελτίο Τύπου ΕΛΣΤΑΤ: Δείκτης κύκλου εργασιών στον Τομέα υπηρεσιών παροχής Καταλύματος και Εστίασης - Α΄ τρίμηνο 2019</w:t>
      </w:r>
    </w:p>
  </w:footnote>
  <w:footnote w:id="8">
    <w:p w:rsidR="00A44503" w:rsidRDefault="00A44503" w:rsidP="00D576B6">
      <w:pPr>
        <w:pStyle w:val="a7"/>
      </w:pPr>
      <w:r>
        <w:rPr>
          <w:rStyle w:val="a8"/>
        </w:rPr>
        <w:footnoteRef/>
      </w:r>
      <w:r>
        <w:t xml:space="preserve"> Δελτίο Τύπου ΕΛΣΤΑΤ: Δείκτες κύκλου εργασιών στον Τομέα των Μεταφορών – Α τρίμηνο 2019</w:t>
      </w:r>
    </w:p>
  </w:footnote>
  <w:footnote w:id="9">
    <w:p w:rsidR="00A44503" w:rsidRDefault="00A44503" w:rsidP="00D576B6">
      <w:pPr>
        <w:pStyle w:val="a7"/>
      </w:pPr>
      <w:r>
        <w:rPr>
          <w:rStyle w:val="a8"/>
        </w:rPr>
        <w:footnoteRef/>
      </w:r>
      <w:r>
        <w:t xml:space="preserve"> Δελτίο Τύπου ΕΛΣΤΑΤ: Τριμηνιαίοι Εθνικοί Λογαριασμοί – 1</w:t>
      </w:r>
      <w:r w:rsidRPr="00C35AA2">
        <w:rPr>
          <w:vertAlign w:val="superscript"/>
        </w:rPr>
        <w:t>ο</w:t>
      </w:r>
      <w:r>
        <w:t xml:space="preserve"> τρίμηνο 2019/1</w:t>
      </w:r>
      <w:r w:rsidRPr="00C35AA2">
        <w:rPr>
          <w:vertAlign w:val="superscript"/>
        </w:rPr>
        <w:t>ο</w:t>
      </w:r>
      <w:r>
        <w:t xml:space="preserve"> τρίμηνο 2018</w:t>
      </w:r>
    </w:p>
  </w:footnote>
  <w:footnote w:id="10">
    <w:p w:rsidR="00F87594" w:rsidRPr="00A958F9" w:rsidRDefault="00F87594" w:rsidP="00F87594">
      <w:pPr>
        <w:pStyle w:val="a7"/>
      </w:pPr>
      <w:r>
        <w:rPr>
          <w:rStyle w:val="a8"/>
        </w:rPr>
        <w:footnoteRef/>
      </w:r>
      <w:r w:rsidRPr="00A958F9">
        <w:t xml:space="preserve"> Τριμηνιαίοι Εθνικοί Λογαριασμοί ΕΛΣΤΑΤ – 1ο τρίμηνο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BF9" w:rsidRDefault="00127BF9">
    <w:pPr>
      <w:pStyle w:val="a9"/>
    </w:pPr>
    <w:r>
      <w:rPr>
        <w:noProof/>
        <w:lang w:eastAsia="el-GR"/>
      </w:rPr>
      <w:drawing>
        <wp:inline distT="0" distB="0" distL="0" distR="0" wp14:anchorId="17AAD358" wp14:editId="0F7A9EE7">
          <wp:extent cx="1579155" cy="594360"/>
          <wp:effectExtent l="0" t="0" r="2540" b="0"/>
          <wp:docPr id="8" name="Εικόνα 10" descr="C:\Users\Thanopoulos\AppData\Local\Microsoft\Windows\INetCache\Content.Outlook\B5LN3GZV\ιμε μπορντώ.jpg"/>
          <wp:cNvGraphicFramePr/>
          <a:graphic xmlns:a="http://schemas.openxmlformats.org/drawingml/2006/main">
            <a:graphicData uri="http://schemas.openxmlformats.org/drawingml/2006/picture">
              <pic:pic xmlns:pic="http://schemas.openxmlformats.org/drawingml/2006/picture">
                <pic:nvPicPr>
                  <pic:cNvPr id="11" name="Εικόνα 10" descr="C:\Users\Thanopoulos\AppData\Local\Microsoft\Windows\INetCache\Content.Outlook\B5LN3GZV\ιμε μπορντώ.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4176" cy="5962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6511A"/>
    <w:multiLevelType w:val="hybridMultilevel"/>
    <w:tmpl w:val="EFBA3E1C"/>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1068170E"/>
    <w:multiLevelType w:val="hybridMultilevel"/>
    <w:tmpl w:val="81564D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nsid w:val="1B13559F"/>
    <w:multiLevelType w:val="hybridMultilevel"/>
    <w:tmpl w:val="6CEC24C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nsid w:val="27CC6964"/>
    <w:multiLevelType w:val="hybridMultilevel"/>
    <w:tmpl w:val="3A72807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nsid w:val="285E5DDF"/>
    <w:multiLevelType w:val="hybridMultilevel"/>
    <w:tmpl w:val="5B647B0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nsid w:val="2C05022D"/>
    <w:multiLevelType w:val="hybridMultilevel"/>
    <w:tmpl w:val="621C658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2C3216B"/>
    <w:multiLevelType w:val="hybridMultilevel"/>
    <w:tmpl w:val="8F9E0F1A"/>
    <w:lvl w:ilvl="0" w:tplc="C82A915A">
      <w:start w:val="1"/>
      <w:numFmt w:val="bullet"/>
      <w:lvlText w:val=""/>
      <w:lvlJc w:val="left"/>
      <w:pPr>
        <w:tabs>
          <w:tab w:val="num" w:pos="360"/>
        </w:tabs>
        <w:ind w:left="360" w:hanging="360"/>
      </w:pPr>
      <w:rPr>
        <w:rFonts w:ascii="Wingdings" w:hAnsi="Wingdings" w:hint="default"/>
        <w:color w:val="auto"/>
      </w:rPr>
    </w:lvl>
    <w:lvl w:ilvl="1" w:tplc="0408000B">
      <w:start w:val="1"/>
      <w:numFmt w:val="bullet"/>
      <w:lvlText w:val=""/>
      <w:lvlJc w:val="left"/>
      <w:pPr>
        <w:tabs>
          <w:tab w:val="num" w:pos="1800"/>
        </w:tabs>
        <w:ind w:left="1800" w:hanging="360"/>
      </w:pPr>
      <w:rPr>
        <w:rFonts w:ascii="Wingdings" w:hAnsi="Wingdings"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7">
    <w:nsid w:val="3B211C5E"/>
    <w:multiLevelType w:val="hybridMultilevel"/>
    <w:tmpl w:val="1A0EFD36"/>
    <w:lvl w:ilvl="0" w:tplc="0408000B">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8">
    <w:nsid w:val="493E15DF"/>
    <w:multiLevelType w:val="hybridMultilevel"/>
    <w:tmpl w:val="955696B0"/>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4B97207B"/>
    <w:multiLevelType w:val="hybridMultilevel"/>
    <w:tmpl w:val="D6BC821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0">
    <w:nsid w:val="4D3A5D85"/>
    <w:multiLevelType w:val="hybridMultilevel"/>
    <w:tmpl w:val="3D344CB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nsid w:val="4E375F96"/>
    <w:multiLevelType w:val="hybridMultilevel"/>
    <w:tmpl w:val="26503DC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nsid w:val="521E17E2"/>
    <w:multiLevelType w:val="hybridMultilevel"/>
    <w:tmpl w:val="76C8623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nsid w:val="56037C2D"/>
    <w:multiLevelType w:val="hybridMultilevel"/>
    <w:tmpl w:val="CBE480C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nsid w:val="58806D57"/>
    <w:multiLevelType w:val="hybridMultilevel"/>
    <w:tmpl w:val="1E527C9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5">
    <w:nsid w:val="5C7364CF"/>
    <w:multiLevelType w:val="hybridMultilevel"/>
    <w:tmpl w:val="17A45F2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61387C08"/>
    <w:multiLevelType w:val="hybridMultilevel"/>
    <w:tmpl w:val="349460A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nsid w:val="635F054F"/>
    <w:multiLevelType w:val="hybridMultilevel"/>
    <w:tmpl w:val="C4E29D8E"/>
    <w:lvl w:ilvl="0" w:tplc="0408000B">
      <w:start w:val="1"/>
      <w:numFmt w:val="bullet"/>
      <w:lvlText w:val=""/>
      <w:lvlJc w:val="left"/>
      <w:pPr>
        <w:ind w:left="644"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783718E3"/>
    <w:multiLevelType w:val="hybridMultilevel"/>
    <w:tmpl w:val="F7565CF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7D01662B"/>
    <w:multiLevelType w:val="hybridMultilevel"/>
    <w:tmpl w:val="263C47F0"/>
    <w:lvl w:ilvl="0" w:tplc="04080009">
      <w:start w:val="1"/>
      <w:numFmt w:val="bullet"/>
      <w:lvlText w:val=""/>
      <w:lvlJc w:val="left"/>
      <w:pPr>
        <w:tabs>
          <w:tab w:val="num" w:pos="1080"/>
        </w:tabs>
        <w:ind w:left="1080" w:hanging="360"/>
      </w:pPr>
      <w:rPr>
        <w:rFonts w:ascii="Wingdings" w:hAnsi="Wingdings" w:hint="default"/>
      </w:rPr>
    </w:lvl>
    <w:lvl w:ilvl="1" w:tplc="0408000B">
      <w:start w:val="1"/>
      <w:numFmt w:val="bullet"/>
      <w:lvlText w:val=""/>
      <w:lvlJc w:val="left"/>
      <w:pPr>
        <w:tabs>
          <w:tab w:val="num" w:pos="1800"/>
        </w:tabs>
        <w:ind w:left="1800" w:hanging="360"/>
      </w:pPr>
      <w:rPr>
        <w:rFonts w:ascii="Wingdings" w:hAnsi="Wingdings"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0">
    <w:nsid w:val="7D3C449C"/>
    <w:multiLevelType w:val="hybridMultilevel"/>
    <w:tmpl w:val="A594BE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12"/>
  </w:num>
  <w:num w:numId="4">
    <w:abstractNumId w:val="10"/>
  </w:num>
  <w:num w:numId="5">
    <w:abstractNumId w:val="9"/>
  </w:num>
  <w:num w:numId="6">
    <w:abstractNumId w:val="4"/>
  </w:num>
  <w:num w:numId="7">
    <w:abstractNumId w:val="19"/>
  </w:num>
  <w:num w:numId="8">
    <w:abstractNumId w:val="7"/>
  </w:num>
  <w:num w:numId="9">
    <w:abstractNumId w:val="8"/>
  </w:num>
  <w:num w:numId="10">
    <w:abstractNumId w:val="6"/>
  </w:num>
  <w:num w:numId="11">
    <w:abstractNumId w:val="17"/>
  </w:num>
  <w:num w:numId="12">
    <w:abstractNumId w:val="0"/>
  </w:num>
  <w:num w:numId="13">
    <w:abstractNumId w:val="20"/>
  </w:num>
  <w:num w:numId="14">
    <w:abstractNumId w:val="1"/>
  </w:num>
  <w:num w:numId="15">
    <w:abstractNumId w:val="14"/>
  </w:num>
  <w:num w:numId="16">
    <w:abstractNumId w:val="2"/>
  </w:num>
  <w:num w:numId="17">
    <w:abstractNumId w:val="11"/>
  </w:num>
  <w:num w:numId="18">
    <w:abstractNumId w:val="18"/>
  </w:num>
  <w:num w:numId="19">
    <w:abstractNumId w:val="5"/>
  </w:num>
  <w:num w:numId="20">
    <w:abstractNumId w:val="15"/>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CE9"/>
    <w:rsid w:val="000129C8"/>
    <w:rsid w:val="00027634"/>
    <w:rsid w:val="00031740"/>
    <w:rsid w:val="00056442"/>
    <w:rsid w:val="00073096"/>
    <w:rsid w:val="00093162"/>
    <w:rsid w:val="000B56D7"/>
    <w:rsid w:val="000B5F5C"/>
    <w:rsid w:val="001056DB"/>
    <w:rsid w:val="00112C79"/>
    <w:rsid w:val="001159D8"/>
    <w:rsid w:val="001215FE"/>
    <w:rsid w:val="00127BF9"/>
    <w:rsid w:val="001357B7"/>
    <w:rsid w:val="00142FCF"/>
    <w:rsid w:val="00182E3B"/>
    <w:rsid w:val="001A21FF"/>
    <w:rsid w:val="001A2E08"/>
    <w:rsid w:val="001A7E61"/>
    <w:rsid w:val="001B27F6"/>
    <w:rsid w:val="001D396D"/>
    <w:rsid w:val="001E1E3B"/>
    <w:rsid w:val="001E6C72"/>
    <w:rsid w:val="001F5CBF"/>
    <w:rsid w:val="00221694"/>
    <w:rsid w:val="00223A92"/>
    <w:rsid w:val="00227378"/>
    <w:rsid w:val="0023250B"/>
    <w:rsid w:val="00235E52"/>
    <w:rsid w:val="00236476"/>
    <w:rsid w:val="00255CE9"/>
    <w:rsid w:val="002625BB"/>
    <w:rsid w:val="00267413"/>
    <w:rsid w:val="00276CAE"/>
    <w:rsid w:val="00281F1A"/>
    <w:rsid w:val="00287100"/>
    <w:rsid w:val="002A2EBA"/>
    <w:rsid w:val="002C4D33"/>
    <w:rsid w:val="002C7FEA"/>
    <w:rsid w:val="002E2AD8"/>
    <w:rsid w:val="002E6F5D"/>
    <w:rsid w:val="003009FC"/>
    <w:rsid w:val="00307F2C"/>
    <w:rsid w:val="00317711"/>
    <w:rsid w:val="00320245"/>
    <w:rsid w:val="00335DA5"/>
    <w:rsid w:val="00347470"/>
    <w:rsid w:val="003510A2"/>
    <w:rsid w:val="00364601"/>
    <w:rsid w:val="003663C1"/>
    <w:rsid w:val="00373DAE"/>
    <w:rsid w:val="00376638"/>
    <w:rsid w:val="00376C07"/>
    <w:rsid w:val="0038759C"/>
    <w:rsid w:val="00397A32"/>
    <w:rsid w:val="003B346F"/>
    <w:rsid w:val="003B4EE8"/>
    <w:rsid w:val="003C054A"/>
    <w:rsid w:val="003D42B7"/>
    <w:rsid w:val="003D69C3"/>
    <w:rsid w:val="004001E0"/>
    <w:rsid w:val="00406848"/>
    <w:rsid w:val="0042564C"/>
    <w:rsid w:val="00425BA9"/>
    <w:rsid w:val="00426977"/>
    <w:rsid w:val="00446987"/>
    <w:rsid w:val="00447760"/>
    <w:rsid w:val="00461C17"/>
    <w:rsid w:val="004655E7"/>
    <w:rsid w:val="00495336"/>
    <w:rsid w:val="004E69FC"/>
    <w:rsid w:val="00506738"/>
    <w:rsid w:val="0050739F"/>
    <w:rsid w:val="0051319E"/>
    <w:rsid w:val="00530ED4"/>
    <w:rsid w:val="0053669B"/>
    <w:rsid w:val="00540700"/>
    <w:rsid w:val="00551FEA"/>
    <w:rsid w:val="0055426B"/>
    <w:rsid w:val="00570846"/>
    <w:rsid w:val="005741B4"/>
    <w:rsid w:val="005805A3"/>
    <w:rsid w:val="005941FC"/>
    <w:rsid w:val="005964BF"/>
    <w:rsid w:val="005A343F"/>
    <w:rsid w:val="005A4D15"/>
    <w:rsid w:val="005A5623"/>
    <w:rsid w:val="005D11CC"/>
    <w:rsid w:val="005D2DB7"/>
    <w:rsid w:val="005D5955"/>
    <w:rsid w:val="006033EB"/>
    <w:rsid w:val="0061735C"/>
    <w:rsid w:val="00642C9F"/>
    <w:rsid w:val="00642DDF"/>
    <w:rsid w:val="00667789"/>
    <w:rsid w:val="006954A4"/>
    <w:rsid w:val="006A2A0E"/>
    <w:rsid w:val="006A5058"/>
    <w:rsid w:val="006B6367"/>
    <w:rsid w:val="006C30E1"/>
    <w:rsid w:val="006E1EDC"/>
    <w:rsid w:val="006E5C3E"/>
    <w:rsid w:val="006F4D97"/>
    <w:rsid w:val="00725137"/>
    <w:rsid w:val="00740D23"/>
    <w:rsid w:val="007519B2"/>
    <w:rsid w:val="0076447B"/>
    <w:rsid w:val="007B59CB"/>
    <w:rsid w:val="007C30F0"/>
    <w:rsid w:val="007D1058"/>
    <w:rsid w:val="007E5990"/>
    <w:rsid w:val="00810D7C"/>
    <w:rsid w:val="00816B51"/>
    <w:rsid w:val="008213FF"/>
    <w:rsid w:val="00832148"/>
    <w:rsid w:val="00843AA6"/>
    <w:rsid w:val="00847B71"/>
    <w:rsid w:val="00875CB7"/>
    <w:rsid w:val="008A5EEA"/>
    <w:rsid w:val="008C1EC7"/>
    <w:rsid w:val="008E4FDE"/>
    <w:rsid w:val="009213C6"/>
    <w:rsid w:val="00926678"/>
    <w:rsid w:val="009308BA"/>
    <w:rsid w:val="009425C2"/>
    <w:rsid w:val="009450E0"/>
    <w:rsid w:val="009571A3"/>
    <w:rsid w:val="00980996"/>
    <w:rsid w:val="009813F3"/>
    <w:rsid w:val="00982361"/>
    <w:rsid w:val="0099561F"/>
    <w:rsid w:val="009A15D7"/>
    <w:rsid w:val="009B6D84"/>
    <w:rsid w:val="009D155D"/>
    <w:rsid w:val="009E47C1"/>
    <w:rsid w:val="009E578F"/>
    <w:rsid w:val="009F25E4"/>
    <w:rsid w:val="009F5721"/>
    <w:rsid w:val="00A21F21"/>
    <w:rsid w:val="00A3706C"/>
    <w:rsid w:val="00A44503"/>
    <w:rsid w:val="00A52CE9"/>
    <w:rsid w:val="00A66FA1"/>
    <w:rsid w:val="00A90087"/>
    <w:rsid w:val="00A9462F"/>
    <w:rsid w:val="00A958F9"/>
    <w:rsid w:val="00AA003E"/>
    <w:rsid w:val="00AD0B69"/>
    <w:rsid w:val="00AE1D0A"/>
    <w:rsid w:val="00B01C6A"/>
    <w:rsid w:val="00B02CB5"/>
    <w:rsid w:val="00B1315D"/>
    <w:rsid w:val="00B332DF"/>
    <w:rsid w:val="00B35871"/>
    <w:rsid w:val="00B44A34"/>
    <w:rsid w:val="00B579F6"/>
    <w:rsid w:val="00B636B9"/>
    <w:rsid w:val="00B67305"/>
    <w:rsid w:val="00B7157A"/>
    <w:rsid w:val="00B77A64"/>
    <w:rsid w:val="00B95217"/>
    <w:rsid w:val="00B9527A"/>
    <w:rsid w:val="00BA105B"/>
    <w:rsid w:val="00BC07AE"/>
    <w:rsid w:val="00BC210B"/>
    <w:rsid w:val="00BC7F87"/>
    <w:rsid w:val="00BD73C9"/>
    <w:rsid w:val="00BE2D1D"/>
    <w:rsid w:val="00C05DEF"/>
    <w:rsid w:val="00C1151F"/>
    <w:rsid w:val="00C2130E"/>
    <w:rsid w:val="00C35AA2"/>
    <w:rsid w:val="00C509D1"/>
    <w:rsid w:val="00C55C08"/>
    <w:rsid w:val="00C802B5"/>
    <w:rsid w:val="00C92675"/>
    <w:rsid w:val="00C95ABA"/>
    <w:rsid w:val="00CA1B7B"/>
    <w:rsid w:val="00CA5225"/>
    <w:rsid w:val="00CD2815"/>
    <w:rsid w:val="00D04F64"/>
    <w:rsid w:val="00D23808"/>
    <w:rsid w:val="00D33BB8"/>
    <w:rsid w:val="00D447E8"/>
    <w:rsid w:val="00D53F3E"/>
    <w:rsid w:val="00D576B6"/>
    <w:rsid w:val="00D64540"/>
    <w:rsid w:val="00D75D9D"/>
    <w:rsid w:val="00D971D6"/>
    <w:rsid w:val="00DA5D46"/>
    <w:rsid w:val="00DB0F5A"/>
    <w:rsid w:val="00DB77D0"/>
    <w:rsid w:val="00DD7465"/>
    <w:rsid w:val="00DE2F17"/>
    <w:rsid w:val="00DF0517"/>
    <w:rsid w:val="00E32517"/>
    <w:rsid w:val="00E33D65"/>
    <w:rsid w:val="00E40D68"/>
    <w:rsid w:val="00E855DB"/>
    <w:rsid w:val="00EB1FA3"/>
    <w:rsid w:val="00ED1D88"/>
    <w:rsid w:val="00F17250"/>
    <w:rsid w:val="00F44CA8"/>
    <w:rsid w:val="00F54B12"/>
    <w:rsid w:val="00F67FB0"/>
    <w:rsid w:val="00F75CEA"/>
    <w:rsid w:val="00F8536D"/>
    <w:rsid w:val="00F87594"/>
    <w:rsid w:val="00F8797A"/>
    <w:rsid w:val="00F91AB2"/>
    <w:rsid w:val="00FA59AC"/>
    <w:rsid w:val="00FA6F05"/>
    <w:rsid w:val="00FB3554"/>
    <w:rsid w:val="00FB3B6F"/>
    <w:rsid w:val="00FC299C"/>
    <w:rsid w:val="00FC575D"/>
    <w:rsid w:val="00FD251B"/>
    <w:rsid w:val="00FD3F3F"/>
    <w:rsid w:val="00FE25C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D46"/>
  </w:style>
  <w:style w:type="paragraph" w:styleId="1">
    <w:name w:val="heading 1"/>
    <w:basedOn w:val="a"/>
    <w:next w:val="a"/>
    <w:link w:val="1Char"/>
    <w:uiPriority w:val="9"/>
    <w:qFormat/>
    <w:rsid w:val="00DA5D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qFormat/>
    <w:rsid w:val="00DA5D46"/>
    <w:pPr>
      <w:keepNext/>
      <w:keepLines/>
      <w:spacing w:before="200" w:after="0" w:line="360" w:lineRule="auto"/>
      <w:jc w:val="both"/>
      <w:outlineLvl w:val="1"/>
    </w:pPr>
    <w:rPr>
      <w:rFonts w:ascii="Cambria" w:eastAsia="Times New Roman" w:hAnsi="Cambria" w:cs="Times New Roman"/>
      <w:b/>
      <w:bCs/>
      <w:i/>
      <w:iCs/>
      <w:sz w:val="28"/>
      <w:szCs w:val="28"/>
      <w:lang w:val="en-GB"/>
    </w:rPr>
  </w:style>
  <w:style w:type="paragraph" w:styleId="3">
    <w:name w:val="heading 3"/>
    <w:basedOn w:val="a"/>
    <w:next w:val="a"/>
    <w:link w:val="3Char"/>
    <w:uiPriority w:val="9"/>
    <w:semiHidden/>
    <w:unhideWhenUsed/>
    <w:qFormat/>
    <w:rsid w:val="00DA5D4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A5D46"/>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rsid w:val="00DA5D46"/>
    <w:rPr>
      <w:rFonts w:ascii="Cambria" w:eastAsia="Times New Roman" w:hAnsi="Cambria" w:cs="Times New Roman"/>
      <w:b/>
      <w:bCs/>
      <w:i/>
      <w:iCs/>
      <w:sz w:val="28"/>
      <w:szCs w:val="28"/>
      <w:lang w:val="en-GB"/>
    </w:rPr>
  </w:style>
  <w:style w:type="character" w:customStyle="1" w:styleId="3Char">
    <w:name w:val="Επικεφαλίδα 3 Char"/>
    <w:basedOn w:val="a0"/>
    <w:link w:val="3"/>
    <w:uiPriority w:val="9"/>
    <w:semiHidden/>
    <w:rsid w:val="00DA5D46"/>
    <w:rPr>
      <w:rFonts w:asciiTheme="majorHAnsi" w:eastAsiaTheme="majorEastAsia" w:hAnsiTheme="majorHAnsi" w:cstheme="majorBidi"/>
      <w:b/>
      <w:bCs/>
      <w:color w:val="4F81BD" w:themeColor="accent1"/>
    </w:rPr>
  </w:style>
  <w:style w:type="paragraph" w:styleId="10">
    <w:name w:val="toc 1"/>
    <w:basedOn w:val="a"/>
    <w:next w:val="a"/>
    <w:autoRedefine/>
    <w:uiPriority w:val="39"/>
    <w:unhideWhenUsed/>
    <w:qFormat/>
    <w:rsid w:val="00DA5D46"/>
    <w:pPr>
      <w:spacing w:before="120" w:after="120"/>
    </w:pPr>
    <w:rPr>
      <w:b/>
      <w:bCs/>
      <w:caps/>
      <w:sz w:val="20"/>
      <w:szCs w:val="20"/>
    </w:rPr>
  </w:style>
  <w:style w:type="paragraph" w:styleId="20">
    <w:name w:val="toc 2"/>
    <w:basedOn w:val="a"/>
    <w:next w:val="a"/>
    <w:autoRedefine/>
    <w:uiPriority w:val="39"/>
    <w:unhideWhenUsed/>
    <w:qFormat/>
    <w:rsid w:val="00DA5D46"/>
    <w:pPr>
      <w:spacing w:after="0"/>
      <w:ind w:left="220"/>
    </w:pPr>
    <w:rPr>
      <w:smallCaps/>
      <w:sz w:val="20"/>
      <w:szCs w:val="20"/>
    </w:rPr>
  </w:style>
  <w:style w:type="paragraph" w:styleId="30">
    <w:name w:val="toc 3"/>
    <w:basedOn w:val="a"/>
    <w:next w:val="a"/>
    <w:autoRedefine/>
    <w:uiPriority w:val="39"/>
    <w:unhideWhenUsed/>
    <w:qFormat/>
    <w:rsid w:val="00DA5D46"/>
    <w:pPr>
      <w:spacing w:after="0"/>
      <w:ind w:left="440"/>
    </w:pPr>
    <w:rPr>
      <w:i/>
      <w:iCs/>
      <w:sz w:val="20"/>
      <w:szCs w:val="20"/>
    </w:rPr>
  </w:style>
  <w:style w:type="paragraph" w:styleId="a3">
    <w:name w:val="caption"/>
    <w:basedOn w:val="a"/>
    <w:next w:val="a"/>
    <w:uiPriority w:val="35"/>
    <w:unhideWhenUsed/>
    <w:qFormat/>
    <w:rsid w:val="00DA5D46"/>
    <w:pPr>
      <w:spacing w:line="240" w:lineRule="auto"/>
    </w:pPr>
    <w:rPr>
      <w:rFonts w:eastAsiaTheme="minorEastAsia"/>
      <w:b/>
      <w:bCs/>
      <w:color w:val="4F81BD" w:themeColor="accent1"/>
      <w:sz w:val="18"/>
      <w:szCs w:val="18"/>
      <w:lang w:eastAsia="el-GR"/>
    </w:rPr>
  </w:style>
  <w:style w:type="paragraph" w:styleId="a4">
    <w:name w:val="No Spacing"/>
    <w:uiPriority w:val="1"/>
    <w:qFormat/>
    <w:rsid w:val="00DA5D46"/>
    <w:pPr>
      <w:spacing w:after="0" w:line="240" w:lineRule="auto"/>
    </w:pPr>
  </w:style>
  <w:style w:type="paragraph" w:styleId="a5">
    <w:name w:val="List Paragraph"/>
    <w:basedOn w:val="a"/>
    <w:uiPriority w:val="99"/>
    <w:qFormat/>
    <w:rsid w:val="00DA5D46"/>
    <w:pPr>
      <w:ind w:left="720"/>
      <w:contextualSpacing/>
    </w:pPr>
  </w:style>
  <w:style w:type="paragraph" w:styleId="a6">
    <w:name w:val="TOC Heading"/>
    <w:basedOn w:val="1"/>
    <w:next w:val="a"/>
    <w:uiPriority w:val="39"/>
    <w:semiHidden/>
    <w:unhideWhenUsed/>
    <w:qFormat/>
    <w:rsid w:val="00DA5D46"/>
    <w:pPr>
      <w:outlineLvl w:val="9"/>
    </w:pPr>
    <w:rPr>
      <w:lang w:eastAsia="el-GR"/>
    </w:rPr>
  </w:style>
  <w:style w:type="paragraph" w:styleId="a7">
    <w:name w:val="footnote text"/>
    <w:basedOn w:val="a"/>
    <w:link w:val="Char"/>
    <w:uiPriority w:val="99"/>
    <w:semiHidden/>
    <w:unhideWhenUsed/>
    <w:rsid w:val="005D11CC"/>
    <w:pPr>
      <w:spacing w:after="0" w:line="240" w:lineRule="auto"/>
    </w:pPr>
    <w:rPr>
      <w:sz w:val="20"/>
      <w:szCs w:val="20"/>
    </w:rPr>
  </w:style>
  <w:style w:type="character" w:customStyle="1" w:styleId="Char">
    <w:name w:val="Κείμενο υποσημείωσης Char"/>
    <w:basedOn w:val="a0"/>
    <w:link w:val="a7"/>
    <w:uiPriority w:val="99"/>
    <w:semiHidden/>
    <w:rsid w:val="005D11CC"/>
    <w:rPr>
      <w:sz w:val="20"/>
      <w:szCs w:val="20"/>
    </w:rPr>
  </w:style>
  <w:style w:type="character" w:styleId="a8">
    <w:name w:val="footnote reference"/>
    <w:basedOn w:val="a0"/>
    <w:uiPriority w:val="99"/>
    <w:semiHidden/>
    <w:unhideWhenUsed/>
    <w:rsid w:val="005D11CC"/>
    <w:rPr>
      <w:vertAlign w:val="superscript"/>
    </w:rPr>
  </w:style>
  <w:style w:type="paragraph" w:styleId="a9">
    <w:name w:val="header"/>
    <w:basedOn w:val="a"/>
    <w:link w:val="Char0"/>
    <w:uiPriority w:val="99"/>
    <w:unhideWhenUsed/>
    <w:rsid w:val="005941FC"/>
    <w:pPr>
      <w:tabs>
        <w:tab w:val="center" w:pos="4153"/>
        <w:tab w:val="right" w:pos="8306"/>
      </w:tabs>
      <w:spacing w:after="0" w:line="240" w:lineRule="auto"/>
    </w:pPr>
  </w:style>
  <w:style w:type="character" w:customStyle="1" w:styleId="Char0">
    <w:name w:val="Κεφαλίδα Char"/>
    <w:basedOn w:val="a0"/>
    <w:link w:val="a9"/>
    <w:uiPriority w:val="99"/>
    <w:rsid w:val="005941FC"/>
  </w:style>
  <w:style w:type="paragraph" w:styleId="aa">
    <w:name w:val="footer"/>
    <w:basedOn w:val="a"/>
    <w:link w:val="Char1"/>
    <w:uiPriority w:val="99"/>
    <w:unhideWhenUsed/>
    <w:rsid w:val="005941FC"/>
    <w:pPr>
      <w:tabs>
        <w:tab w:val="center" w:pos="4153"/>
        <w:tab w:val="right" w:pos="8306"/>
      </w:tabs>
      <w:spacing w:after="0" w:line="240" w:lineRule="auto"/>
    </w:pPr>
  </w:style>
  <w:style w:type="character" w:customStyle="1" w:styleId="Char1">
    <w:name w:val="Υποσέλιδο Char"/>
    <w:basedOn w:val="a0"/>
    <w:link w:val="aa"/>
    <w:uiPriority w:val="99"/>
    <w:rsid w:val="005941FC"/>
  </w:style>
  <w:style w:type="table" w:styleId="ab">
    <w:name w:val="Table Grid"/>
    <w:basedOn w:val="a1"/>
    <w:uiPriority w:val="99"/>
    <w:rsid w:val="005941FC"/>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Char2"/>
    <w:uiPriority w:val="99"/>
    <w:semiHidden/>
    <w:unhideWhenUsed/>
    <w:rsid w:val="005941FC"/>
    <w:pPr>
      <w:spacing w:after="0" w:line="240" w:lineRule="auto"/>
    </w:pPr>
    <w:rPr>
      <w:rFonts w:ascii="Tahoma" w:hAnsi="Tahoma" w:cs="Tahoma"/>
      <w:sz w:val="16"/>
      <w:szCs w:val="16"/>
    </w:rPr>
  </w:style>
  <w:style w:type="character" w:customStyle="1" w:styleId="Char2">
    <w:name w:val="Κείμενο πλαισίου Char"/>
    <w:basedOn w:val="a0"/>
    <w:link w:val="ac"/>
    <w:uiPriority w:val="99"/>
    <w:semiHidden/>
    <w:rsid w:val="005941FC"/>
    <w:rPr>
      <w:rFonts w:ascii="Tahoma" w:hAnsi="Tahoma" w:cs="Tahoma"/>
      <w:sz w:val="16"/>
      <w:szCs w:val="16"/>
    </w:rPr>
  </w:style>
  <w:style w:type="paragraph" w:customStyle="1" w:styleId="gmail-msolistparagraph">
    <w:name w:val="gmail-msolistparagraph"/>
    <w:basedOn w:val="a"/>
    <w:rsid w:val="0050673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gmail-msofootnotereference">
    <w:name w:val="gmail-msofootnotereference"/>
    <w:basedOn w:val="a0"/>
    <w:rsid w:val="004655E7"/>
  </w:style>
  <w:style w:type="paragraph" w:customStyle="1" w:styleId="gmail-msofootnotetext">
    <w:name w:val="gmail-msofootnotetext"/>
    <w:basedOn w:val="a"/>
    <w:rsid w:val="004655E7"/>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D46"/>
  </w:style>
  <w:style w:type="paragraph" w:styleId="1">
    <w:name w:val="heading 1"/>
    <w:basedOn w:val="a"/>
    <w:next w:val="a"/>
    <w:link w:val="1Char"/>
    <w:uiPriority w:val="9"/>
    <w:qFormat/>
    <w:rsid w:val="00DA5D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qFormat/>
    <w:rsid w:val="00DA5D46"/>
    <w:pPr>
      <w:keepNext/>
      <w:keepLines/>
      <w:spacing w:before="200" w:after="0" w:line="360" w:lineRule="auto"/>
      <w:jc w:val="both"/>
      <w:outlineLvl w:val="1"/>
    </w:pPr>
    <w:rPr>
      <w:rFonts w:ascii="Cambria" w:eastAsia="Times New Roman" w:hAnsi="Cambria" w:cs="Times New Roman"/>
      <w:b/>
      <w:bCs/>
      <w:i/>
      <w:iCs/>
      <w:sz w:val="28"/>
      <w:szCs w:val="28"/>
      <w:lang w:val="en-GB"/>
    </w:rPr>
  </w:style>
  <w:style w:type="paragraph" w:styleId="3">
    <w:name w:val="heading 3"/>
    <w:basedOn w:val="a"/>
    <w:next w:val="a"/>
    <w:link w:val="3Char"/>
    <w:uiPriority w:val="9"/>
    <w:semiHidden/>
    <w:unhideWhenUsed/>
    <w:qFormat/>
    <w:rsid w:val="00DA5D4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A5D46"/>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rsid w:val="00DA5D46"/>
    <w:rPr>
      <w:rFonts w:ascii="Cambria" w:eastAsia="Times New Roman" w:hAnsi="Cambria" w:cs="Times New Roman"/>
      <w:b/>
      <w:bCs/>
      <w:i/>
      <w:iCs/>
      <w:sz w:val="28"/>
      <w:szCs w:val="28"/>
      <w:lang w:val="en-GB"/>
    </w:rPr>
  </w:style>
  <w:style w:type="character" w:customStyle="1" w:styleId="3Char">
    <w:name w:val="Επικεφαλίδα 3 Char"/>
    <w:basedOn w:val="a0"/>
    <w:link w:val="3"/>
    <w:uiPriority w:val="9"/>
    <w:semiHidden/>
    <w:rsid w:val="00DA5D46"/>
    <w:rPr>
      <w:rFonts w:asciiTheme="majorHAnsi" w:eastAsiaTheme="majorEastAsia" w:hAnsiTheme="majorHAnsi" w:cstheme="majorBidi"/>
      <w:b/>
      <w:bCs/>
      <w:color w:val="4F81BD" w:themeColor="accent1"/>
    </w:rPr>
  </w:style>
  <w:style w:type="paragraph" w:styleId="10">
    <w:name w:val="toc 1"/>
    <w:basedOn w:val="a"/>
    <w:next w:val="a"/>
    <w:autoRedefine/>
    <w:uiPriority w:val="39"/>
    <w:unhideWhenUsed/>
    <w:qFormat/>
    <w:rsid w:val="00DA5D46"/>
    <w:pPr>
      <w:spacing w:before="120" w:after="120"/>
    </w:pPr>
    <w:rPr>
      <w:b/>
      <w:bCs/>
      <w:caps/>
      <w:sz w:val="20"/>
      <w:szCs w:val="20"/>
    </w:rPr>
  </w:style>
  <w:style w:type="paragraph" w:styleId="20">
    <w:name w:val="toc 2"/>
    <w:basedOn w:val="a"/>
    <w:next w:val="a"/>
    <w:autoRedefine/>
    <w:uiPriority w:val="39"/>
    <w:unhideWhenUsed/>
    <w:qFormat/>
    <w:rsid w:val="00DA5D46"/>
    <w:pPr>
      <w:spacing w:after="0"/>
      <w:ind w:left="220"/>
    </w:pPr>
    <w:rPr>
      <w:smallCaps/>
      <w:sz w:val="20"/>
      <w:szCs w:val="20"/>
    </w:rPr>
  </w:style>
  <w:style w:type="paragraph" w:styleId="30">
    <w:name w:val="toc 3"/>
    <w:basedOn w:val="a"/>
    <w:next w:val="a"/>
    <w:autoRedefine/>
    <w:uiPriority w:val="39"/>
    <w:unhideWhenUsed/>
    <w:qFormat/>
    <w:rsid w:val="00DA5D46"/>
    <w:pPr>
      <w:spacing w:after="0"/>
      <w:ind w:left="440"/>
    </w:pPr>
    <w:rPr>
      <w:i/>
      <w:iCs/>
      <w:sz w:val="20"/>
      <w:szCs w:val="20"/>
    </w:rPr>
  </w:style>
  <w:style w:type="paragraph" w:styleId="a3">
    <w:name w:val="caption"/>
    <w:basedOn w:val="a"/>
    <w:next w:val="a"/>
    <w:uiPriority w:val="35"/>
    <w:unhideWhenUsed/>
    <w:qFormat/>
    <w:rsid w:val="00DA5D46"/>
    <w:pPr>
      <w:spacing w:line="240" w:lineRule="auto"/>
    </w:pPr>
    <w:rPr>
      <w:rFonts w:eastAsiaTheme="minorEastAsia"/>
      <w:b/>
      <w:bCs/>
      <w:color w:val="4F81BD" w:themeColor="accent1"/>
      <w:sz w:val="18"/>
      <w:szCs w:val="18"/>
      <w:lang w:eastAsia="el-GR"/>
    </w:rPr>
  </w:style>
  <w:style w:type="paragraph" w:styleId="a4">
    <w:name w:val="No Spacing"/>
    <w:uiPriority w:val="1"/>
    <w:qFormat/>
    <w:rsid w:val="00DA5D46"/>
    <w:pPr>
      <w:spacing w:after="0" w:line="240" w:lineRule="auto"/>
    </w:pPr>
  </w:style>
  <w:style w:type="paragraph" w:styleId="a5">
    <w:name w:val="List Paragraph"/>
    <w:basedOn w:val="a"/>
    <w:uiPriority w:val="99"/>
    <w:qFormat/>
    <w:rsid w:val="00DA5D46"/>
    <w:pPr>
      <w:ind w:left="720"/>
      <w:contextualSpacing/>
    </w:pPr>
  </w:style>
  <w:style w:type="paragraph" w:styleId="a6">
    <w:name w:val="TOC Heading"/>
    <w:basedOn w:val="1"/>
    <w:next w:val="a"/>
    <w:uiPriority w:val="39"/>
    <w:semiHidden/>
    <w:unhideWhenUsed/>
    <w:qFormat/>
    <w:rsid w:val="00DA5D46"/>
    <w:pPr>
      <w:outlineLvl w:val="9"/>
    </w:pPr>
    <w:rPr>
      <w:lang w:eastAsia="el-GR"/>
    </w:rPr>
  </w:style>
  <w:style w:type="paragraph" w:styleId="a7">
    <w:name w:val="footnote text"/>
    <w:basedOn w:val="a"/>
    <w:link w:val="Char"/>
    <w:uiPriority w:val="99"/>
    <w:semiHidden/>
    <w:unhideWhenUsed/>
    <w:rsid w:val="005D11CC"/>
    <w:pPr>
      <w:spacing w:after="0" w:line="240" w:lineRule="auto"/>
    </w:pPr>
    <w:rPr>
      <w:sz w:val="20"/>
      <w:szCs w:val="20"/>
    </w:rPr>
  </w:style>
  <w:style w:type="character" w:customStyle="1" w:styleId="Char">
    <w:name w:val="Κείμενο υποσημείωσης Char"/>
    <w:basedOn w:val="a0"/>
    <w:link w:val="a7"/>
    <w:uiPriority w:val="99"/>
    <w:semiHidden/>
    <w:rsid w:val="005D11CC"/>
    <w:rPr>
      <w:sz w:val="20"/>
      <w:szCs w:val="20"/>
    </w:rPr>
  </w:style>
  <w:style w:type="character" w:styleId="a8">
    <w:name w:val="footnote reference"/>
    <w:basedOn w:val="a0"/>
    <w:uiPriority w:val="99"/>
    <w:semiHidden/>
    <w:unhideWhenUsed/>
    <w:rsid w:val="005D11CC"/>
    <w:rPr>
      <w:vertAlign w:val="superscript"/>
    </w:rPr>
  </w:style>
  <w:style w:type="paragraph" w:styleId="a9">
    <w:name w:val="header"/>
    <w:basedOn w:val="a"/>
    <w:link w:val="Char0"/>
    <w:uiPriority w:val="99"/>
    <w:unhideWhenUsed/>
    <w:rsid w:val="005941FC"/>
    <w:pPr>
      <w:tabs>
        <w:tab w:val="center" w:pos="4153"/>
        <w:tab w:val="right" w:pos="8306"/>
      </w:tabs>
      <w:spacing w:after="0" w:line="240" w:lineRule="auto"/>
    </w:pPr>
  </w:style>
  <w:style w:type="character" w:customStyle="1" w:styleId="Char0">
    <w:name w:val="Κεφαλίδα Char"/>
    <w:basedOn w:val="a0"/>
    <w:link w:val="a9"/>
    <w:uiPriority w:val="99"/>
    <w:rsid w:val="005941FC"/>
  </w:style>
  <w:style w:type="paragraph" w:styleId="aa">
    <w:name w:val="footer"/>
    <w:basedOn w:val="a"/>
    <w:link w:val="Char1"/>
    <w:uiPriority w:val="99"/>
    <w:unhideWhenUsed/>
    <w:rsid w:val="005941FC"/>
    <w:pPr>
      <w:tabs>
        <w:tab w:val="center" w:pos="4153"/>
        <w:tab w:val="right" w:pos="8306"/>
      </w:tabs>
      <w:spacing w:after="0" w:line="240" w:lineRule="auto"/>
    </w:pPr>
  </w:style>
  <w:style w:type="character" w:customStyle="1" w:styleId="Char1">
    <w:name w:val="Υποσέλιδο Char"/>
    <w:basedOn w:val="a0"/>
    <w:link w:val="aa"/>
    <w:uiPriority w:val="99"/>
    <w:rsid w:val="005941FC"/>
  </w:style>
  <w:style w:type="table" w:styleId="ab">
    <w:name w:val="Table Grid"/>
    <w:basedOn w:val="a1"/>
    <w:uiPriority w:val="99"/>
    <w:rsid w:val="005941FC"/>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Char2"/>
    <w:uiPriority w:val="99"/>
    <w:semiHidden/>
    <w:unhideWhenUsed/>
    <w:rsid w:val="005941FC"/>
    <w:pPr>
      <w:spacing w:after="0" w:line="240" w:lineRule="auto"/>
    </w:pPr>
    <w:rPr>
      <w:rFonts w:ascii="Tahoma" w:hAnsi="Tahoma" w:cs="Tahoma"/>
      <w:sz w:val="16"/>
      <w:szCs w:val="16"/>
    </w:rPr>
  </w:style>
  <w:style w:type="character" w:customStyle="1" w:styleId="Char2">
    <w:name w:val="Κείμενο πλαισίου Char"/>
    <w:basedOn w:val="a0"/>
    <w:link w:val="ac"/>
    <w:uiPriority w:val="99"/>
    <w:semiHidden/>
    <w:rsid w:val="005941FC"/>
    <w:rPr>
      <w:rFonts w:ascii="Tahoma" w:hAnsi="Tahoma" w:cs="Tahoma"/>
      <w:sz w:val="16"/>
      <w:szCs w:val="16"/>
    </w:rPr>
  </w:style>
  <w:style w:type="paragraph" w:customStyle="1" w:styleId="gmail-msolistparagraph">
    <w:name w:val="gmail-msolistparagraph"/>
    <w:basedOn w:val="a"/>
    <w:rsid w:val="0050673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gmail-msofootnotereference">
    <w:name w:val="gmail-msofootnotereference"/>
    <w:basedOn w:val="a0"/>
    <w:rsid w:val="004655E7"/>
  </w:style>
  <w:style w:type="paragraph" w:customStyle="1" w:styleId="gmail-msofootnotetext">
    <w:name w:val="gmail-msofootnotetext"/>
    <w:basedOn w:val="a"/>
    <w:rsid w:val="004655E7"/>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631788">
      <w:bodyDiv w:val="1"/>
      <w:marLeft w:val="0"/>
      <w:marRight w:val="0"/>
      <w:marTop w:val="0"/>
      <w:marBottom w:val="0"/>
      <w:divBdr>
        <w:top w:val="none" w:sz="0" w:space="0" w:color="auto"/>
        <w:left w:val="none" w:sz="0" w:space="0" w:color="auto"/>
        <w:bottom w:val="none" w:sz="0" w:space="0" w:color="auto"/>
        <w:right w:val="none" w:sz="0" w:space="0" w:color="auto"/>
      </w:divBdr>
      <w:divsChild>
        <w:div w:id="1443110940">
          <w:marLeft w:val="0"/>
          <w:marRight w:val="0"/>
          <w:marTop w:val="0"/>
          <w:marBottom w:val="0"/>
          <w:divBdr>
            <w:top w:val="single" w:sz="8" w:space="1" w:color="auto"/>
            <w:left w:val="single" w:sz="8" w:space="4" w:color="auto"/>
            <w:bottom w:val="single" w:sz="8" w:space="1" w:color="auto"/>
            <w:right w:val="single" w:sz="8" w:space="4" w:color="auto"/>
          </w:divBdr>
        </w:div>
        <w:div w:id="1342857721">
          <w:marLeft w:val="0"/>
          <w:marRight w:val="0"/>
          <w:marTop w:val="0"/>
          <w:marBottom w:val="0"/>
          <w:divBdr>
            <w:top w:val="none" w:sz="0" w:space="0" w:color="auto"/>
            <w:left w:val="none" w:sz="0" w:space="0" w:color="auto"/>
            <w:bottom w:val="none" w:sz="0" w:space="0" w:color="auto"/>
            <w:right w:val="none" w:sz="0" w:space="0" w:color="auto"/>
          </w:divBdr>
          <w:divsChild>
            <w:div w:id="145136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57573">
      <w:bodyDiv w:val="1"/>
      <w:marLeft w:val="0"/>
      <w:marRight w:val="0"/>
      <w:marTop w:val="0"/>
      <w:marBottom w:val="0"/>
      <w:divBdr>
        <w:top w:val="none" w:sz="0" w:space="0" w:color="auto"/>
        <w:left w:val="none" w:sz="0" w:space="0" w:color="auto"/>
        <w:bottom w:val="none" w:sz="0" w:space="0" w:color="auto"/>
        <w:right w:val="none" w:sz="0" w:space="0" w:color="auto"/>
      </w:divBdr>
    </w:div>
    <w:div w:id="910506911">
      <w:bodyDiv w:val="1"/>
      <w:marLeft w:val="0"/>
      <w:marRight w:val="0"/>
      <w:marTop w:val="0"/>
      <w:marBottom w:val="0"/>
      <w:divBdr>
        <w:top w:val="none" w:sz="0" w:space="0" w:color="auto"/>
        <w:left w:val="none" w:sz="0" w:space="0" w:color="auto"/>
        <w:bottom w:val="none" w:sz="0" w:space="0" w:color="auto"/>
        <w:right w:val="none" w:sz="0" w:space="0" w:color="auto"/>
      </w:divBdr>
      <w:divsChild>
        <w:div w:id="663708577">
          <w:marLeft w:val="0"/>
          <w:marRight w:val="0"/>
          <w:marTop w:val="0"/>
          <w:marBottom w:val="0"/>
          <w:divBdr>
            <w:top w:val="none" w:sz="0" w:space="0" w:color="auto"/>
            <w:left w:val="none" w:sz="0" w:space="0" w:color="auto"/>
            <w:bottom w:val="none" w:sz="0" w:space="0" w:color="auto"/>
            <w:right w:val="none" w:sz="0" w:space="0" w:color="auto"/>
          </w:divBdr>
          <w:divsChild>
            <w:div w:id="64863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83999">
      <w:bodyDiv w:val="1"/>
      <w:marLeft w:val="0"/>
      <w:marRight w:val="0"/>
      <w:marTop w:val="0"/>
      <w:marBottom w:val="0"/>
      <w:divBdr>
        <w:top w:val="none" w:sz="0" w:space="0" w:color="auto"/>
        <w:left w:val="none" w:sz="0" w:space="0" w:color="auto"/>
        <w:bottom w:val="none" w:sz="0" w:space="0" w:color="auto"/>
        <w:right w:val="none" w:sz="0" w:space="0" w:color="auto"/>
      </w:divBdr>
    </w:div>
    <w:div w:id="994798332">
      <w:bodyDiv w:val="1"/>
      <w:marLeft w:val="0"/>
      <w:marRight w:val="0"/>
      <w:marTop w:val="0"/>
      <w:marBottom w:val="0"/>
      <w:divBdr>
        <w:top w:val="none" w:sz="0" w:space="0" w:color="auto"/>
        <w:left w:val="none" w:sz="0" w:space="0" w:color="auto"/>
        <w:bottom w:val="none" w:sz="0" w:space="0" w:color="auto"/>
        <w:right w:val="none" w:sz="0" w:space="0" w:color="auto"/>
      </w:divBdr>
    </w:div>
    <w:div w:id="1212762625">
      <w:bodyDiv w:val="1"/>
      <w:marLeft w:val="0"/>
      <w:marRight w:val="0"/>
      <w:marTop w:val="0"/>
      <w:marBottom w:val="0"/>
      <w:divBdr>
        <w:top w:val="none" w:sz="0" w:space="0" w:color="auto"/>
        <w:left w:val="none" w:sz="0" w:space="0" w:color="auto"/>
        <w:bottom w:val="none" w:sz="0" w:space="0" w:color="auto"/>
        <w:right w:val="none" w:sz="0" w:space="0" w:color="auto"/>
      </w:divBdr>
    </w:div>
    <w:div w:id="1538616524">
      <w:bodyDiv w:val="1"/>
      <w:marLeft w:val="0"/>
      <w:marRight w:val="0"/>
      <w:marTop w:val="0"/>
      <w:marBottom w:val="0"/>
      <w:divBdr>
        <w:top w:val="none" w:sz="0" w:space="0" w:color="auto"/>
        <w:left w:val="none" w:sz="0" w:space="0" w:color="auto"/>
        <w:bottom w:val="none" w:sz="0" w:space="0" w:color="auto"/>
        <w:right w:val="none" w:sz="0" w:space="0" w:color="auto"/>
      </w:divBdr>
      <w:divsChild>
        <w:div w:id="811869969">
          <w:marLeft w:val="0"/>
          <w:marRight w:val="0"/>
          <w:marTop w:val="0"/>
          <w:marBottom w:val="0"/>
          <w:divBdr>
            <w:top w:val="none" w:sz="0" w:space="0" w:color="auto"/>
            <w:left w:val="none" w:sz="0" w:space="0" w:color="auto"/>
            <w:bottom w:val="none" w:sz="0" w:space="0" w:color="auto"/>
            <w:right w:val="none" w:sz="0" w:space="0" w:color="auto"/>
          </w:divBdr>
          <w:divsChild>
            <w:div w:id="145701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26356">
      <w:bodyDiv w:val="1"/>
      <w:marLeft w:val="0"/>
      <w:marRight w:val="0"/>
      <w:marTop w:val="0"/>
      <w:marBottom w:val="0"/>
      <w:divBdr>
        <w:top w:val="none" w:sz="0" w:space="0" w:color="auto"/>
        <w:left w:val="none" w:sz="0" w:space="0" w:color="auto"/>
        <w:bottom w:val="none" w:sz="0" w:space="0" w:color="auto"/>
        <w:right w:val="none" w:sz="0" w:space="0" w:color="auto"/>
      </w:divBdr>
    </w:div>
    <w:div w:id="201715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9" Type="http://schemas.openxmlformats.org/officeDocument/2006/relationships/chart" Target="charts/chart31.xml"/><Relationship Id="rId3" Type="http://schemas.openxmlformats.org/officeDocument/2006/relationships/styles" Target="styles.xml"/><Relationship Id="rId21" Type="http://schemas.openxmlformats.org/officeDocument/2006/relationships/chart" Target="charts/chart13.xml"/><Relationship Id="rId34" Type="http://schemas.openxmlformats.org/officeDocument/2006/relationships/chart" Target="charts/chart26.xml"/><Relationship Id="rId42" Type="http://schemas.openxmlformats.org/officeDocument/2006/relationships/chart" Target="charts/chart34.xml"/><Relationship Id="rId47" Type="http://schemas.openxmlformats.org/officeDocument/2006/relationships/chart" Target="charts/chart39.xml"/><Relationship Id="rId50"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chart" Target="charts/chart25.xml"/><Relationship Id="rId38" Type="http://schemas.openxmlformats.org/officeDocument/2006/relationships/chart" Target="charts/chart30.xml"/><Relationship Id="rId46" Type="http://schemas.openxmlformats.org/officeDocument/2006/relationships/chart" Target="charts/chart38.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chart" Target="charts/chart21.xml"/><Relationship Id="rId41" Type="http://schemas.openxmlformats.org/officeDocument/2006/relationships/chart" Target="charts/chart3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chart" Target="charts/chart24.xml"/><Relationship Id="rId37" Type="http://schemas.openxmlformats.org/officeDocument/2006/relationships/chart" Target="charts/chart29.xml"/><Relationship Id="rId40" Type="http://schemas.openxmlformats.org/officeDocument/2006/relationships/chart" Target="charts/chart32.xml"/><Relationship Id="rId45" Type="http://schemas.openxmlformats.org/officeDocument/2006/relationships/chart" Target="charts/chart37.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36" Type="http://schemas.openxmlformats.org/officeDocument/2006/relationships/chart" Target="charts/chart28.xml"/><Relationship Id="rId49" Type="http://schemas.openxmlformats.org/officeDocument/2006/relationships/header" Target="header1.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chart" Target="charts/chart23.xml"/><Relationship Id="rId44" Type="http://schemas.openxmlformats.org/officeDocument/2006/relationships/chart" Target="charts/chart36.xm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chart" Target="charts/chart22.xml"/><Relationship Id="rId35" Type="http://schemas.openxmlformats.org/officeDocument/2006/relationships/chart" Target="charts/chart27.xml"/><Relationship Id="rId43" Type="http://schemas.openxmlformats.org/officeDocument/2006/relationships/chart" Target="charts/chart35.xml"/><Relationship Id="rId48" Type="http://schemas.openxmlformats.org/officeDocument/2006/relationships/chart" Target="charts/chart40.xml"/><Relationship Id="rId8" Type="http://schemas.openxmlformats.org/officeDocument/2006/relationships/endnotes" Target="endnotes.xml"/><Relationship Id="rId5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9.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0.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1.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2.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3.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4.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15.xml"/></Relationships>
</file>

<file path=word/charts/_rels/chart17.xml.rels><?xml version="1.0" encoding="UTF-8" standalone="yes"?>
<Relationships xmlns="http://schemas.openxmlformats.org/package/2006/relationships"><Relationship Id="rId2" Type="http://schemas.openxmlformats.org/officeDocument/2006/relationships/package" Target="../embeddings/Microsoft_Excel_Worksheet17.xlsx"/><Relationship Id="rId1" Type="http://schemas.openxmlformats.org/officeDocument/2006/relationships/themeOverride" Target="../theme/themeOverride16.xml"/></Relationships>
</file>

<file path=word/charts/_rels/chart18.xml.rels><?xml version="1.0" encoding="UTF-8" standalone="yes"?>
<Relationships xmlns="http://schemas.openxmlformats.org/package/2006/relationships"><Relationship Id="rId2" Type="http://schemas.openxmlformats.org/officeDocument/2006/relationships/package" Target="../embeddings/Microsoft_Excel_Worksheet18.xlsx"/><Relationship Id="rId1" Type="http://schemas.openxmlformats.org/officeDocument/2006/relationships/themeOverride" Target="../theme/themeOverride17.xml"/></Relationships>
</file>

<file path=word/charts/_rels/chart19.xml.rels><?xml version="1.0" encoding="UTF-8" standalone="yes"?>
<Relationships xmlns="http://schemas.openxmlformats.org/package/2006/relationships"><Relationship Id="rId2" Type="http://schemas.openxmlformats.org/officeDocument/2006/relationships/package" Target="../embeddings/Microsoft_Excel_Worksheet19.xlsx"/><Relationship Id="rId1" Type="http://schemas.openxmlformats.org/officeDocument/2006/relationships/themeOverride" Target="../theme/themeOverride18.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package" Target="../embeddings/Microsoft_Excel_Worksheet20.xlsx"/><Relationship Id="rId1" Type="http://schemas.openxmlformats.org/officeDocument/2006/relationships/themeOverride" Target="../theme/themeOverride19.xml"/></Relationships>
</file>

<file path=word/charts/_rels/chart21.xml.rels><?xml version="1.0" encoding="UTF-8" standalone="yes"?>
<Relationships xmlns="http://schemas.openxmlformats.org/package/2006/relationships"><Relationship Id="rId2" Type="http://schemas.openxmlformats.org/officeDocument/2006/relationships/package" Target="../embeddings/Microsoft_Excel_Worksheet21.xlsx"/><Relationship Id="rId1" Type="http://schemas.openxmlformats.org/officeDocument/2006/relationships/themeOverride" Target="../theme/themeOverride20.xml"/></Relationships>
</file>

<file path=word/charts/_rels/chart22.xml.rels><?xml version="1.0" encoding="UTF-8" standalone="yes"?>
<Relationships xmlns="http://schemas.openxmlformats.org/package/2006/relationships"><Relationship Id="rId2" Type="http://schemas.openxmlformats.org/officeDocument/2006/relationships/package" Target="../embeddings/Microsoft_Excel_Worksheet22.xlsx"/><Relationship Id="rId1" Type="http://schemas.openxmlformats.org/officeDocument/2006/relationships/themeOverride" Target="../theme/themeOverride21.xml"/></Relationships>
</file>

<file path=word/charts/_rels/chart23.xml.rels><?xml version="1.0" encoding="UTF-8" standalone="yes"?>
<Relationships xmlns="http://schemas.openxmlformats.org/package/2006/relationships"><Relationship Id="rId2" Type="http://schemas.openxmlformats.org/officeDocument/2006/relationships/package" Target="../embeddings/Microsoft_Excel_Worksheet23.xlsx"/><Relationship Id="rId1" Type="http://schemas.openxmlformats.org/officeDocument/2006/relationships/themeOverride" Target="../theme/themeOverride22.xml"/></Relationships>
</file>

<file path=word/charts/_rels/chart24.xml.rels><?xml version="1.0" encoding="UTF-8" standalone="yes"?>
<Relationships xmlns="http://schemas.openxmlformats.org/package/2006/relationships"><Relationship Id="rId2" Type="http://schemas.openxmlformats.org/officeDocument/2006/relationships/package" Target="../embeddings/Microsoft_Excel_Worksheet24.xlsx"/><Relationship Id="rId1" Type="http://schemas.openxmlformats.org/officeDocument/2006/relationships/themeOverride" Target="../theme/themeOverride23.xml"/></Relationships>
</file>

<file path=word/charts/_rels/chart25.xml.rels><?xml version="1.0" encoding="UTF-8" standalone="yes"?>
<Relationships xmlns="http://schemas.openxmlformats.org/package/2006/relationships"><Relationship Id="rId2" Type="http://schemas.openxmlformats.org/officeDocument/2006/relationships/package" Target="../embeddings/Microsoft_Excel_Worksheet25.xlsx"/><Relationship Id="rId1" Type="http://schemas.openxmlformats.org/officeDocument/2006/relationships/themeOverride" Target="../theme/themeOverride24.xml"/></Relationships>
</file>

<file path=word/charts/_rels/chart26.xml.rels><?xml version="1.0" encoding="UTF-8" standalone="yes"?>
<Relationships xmlns="http://schemas.openxmlformats.org/package/2006/relationships"><Relationship Id="rId2" Type="http://schemas.openxmlformats.org/officeDocument/2006/relationships/package" Target="../embeddings/Microsoft_Excel_Worksheet26.xlsx"/><Relationship Id="rId1" Type="http://schemas.openxmlformats.org/officeDocument/2006/relationships/themeOverride" Target="../theme/themeOverride25.xml"/></Relationships>
</file>

<file path=word/charts/_rels/chart27.xml.rels><?xml version="1.0" encoding="UTF-8" standalone="yes"?>
<Relationships xmlns="http://schemas.openxmlformats.org/package/2006/relationships"><Relationship Id="rId2" Type="http://schemas.openxmlformats.org/officeDocument/2006/relationships/package" Target="../embeddings/Microsoft_Excel_Worksheet27.xlsx"/><Relationship Id="rId1" Type="http://schemas.openxmlformats.org/officeDocument/2006/relationships/themeOverride" Target="../theme/themeOverride26.xml"/></Relationships>
</file>

<file path=word/charts/_rels/chart28.xml.rels><?xml version="1.0" encoding="UTF-8" standalone="yes"?>
<Relationships xmlns="http://schemas.openxmlformats.org/package/2006/relationships"><Relationship Id="rId2" Type="http://schemas.openxmlformats.org/officeDocument/2006/relationships/package" Target="../embeddings/Microsoft_Excel_Worksheet28.xlsx"/><Relationship Id="rId1" Type="http://schemas.openxmlformats.org/officeDocument/2006/relationships/themeOverride" Target="../theme/themeOverride27.xml"/></Relationships>
</file>

<file path=word/charts/_rels/chart29.xml.rels><?xml version="1.0" encoding="UTF-8" standalone="yes"?>
<Relationships xmlns="http://schemas.openxmlformats.org/package/2006/relationships"><Relationship Id="rId2" Type="http://schemas.openxmlformats.org/officeDocument/2006/relationships/package" Target="../embeddings/Microsoft_Excel_Worksheet29.xlsx"/><Relationship Id="rId1" Type="http://schemas.openxmlformats.org/officeDocument/2006/relationships/themeOverride" Target="../theme/themeOverride28.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30.xml.rels><?xml version="1.0" encoding="UTF-8" standalone="yes"?>
<Relationships xmlns="http://schemas.openxmlformats.org/package/2006/relationships"><Relationship Id="rId2" Type="http://schemas.openxmlformats.org/officeDocument/2006/relationships/package" Target="../embeddings/Microsoft_Excel_Worksheet30.xlsx"/><Relationship Id="rId1" Type="http://schemas.openxmlformats.org/officeDocument/2006/relationships/themeOverride" Target="../theme/themeOverride29.xml"/></Relationships>
</file>

<file path=word/charts/_rels/chart31.xml.rels><?xml version="1.0" encoding="UTF-8" standalone="yes"?>
<Relationships xmlns="http://schemas.openxmlformats.org/package/2006/relationships"><Relationship Id="rId2" Type="http://schemas.openxmlformats.org/officeDocument/2006/relationships/package" Target="../embeddings/Microsoft_Excel_Worksheet31.xlsx"/><Relationship Id="rId1" Type="http://schemas.openxmlformats.org/officeDocument/2006/relationships/themeOverride" Target="../theme/themeOverride30.xml"/></Relationships>
</file>

<file path=word/charts/_rels/chart32.xml.rels><?xml version="1.0" encoding="UTF-8" standalone="yes"?>
<Relationships xmlns="http://schemas.openxmlformats.org/package/2006/relationships"><Relationship Id="rId2" Type="http://schemas.openxmlformats.org/officeDocument/2006/relationships/package" Target="../embeddings/Microsoft_Excel_Worksheet32.xlsx"/><Relationship Id="rId1" Type="http://schemas.openxmlformats.org/officeDocument/2006/relationships/themeOverride" Target="../theme/themeOverride31.xml"/></Relationships>
</file>

<file path=word/charts/_rels/chart33.xml.rels><?xml version="1.0" encoding="UTF-8" standalone="yes"?>
<Relationships xmlns="http://schemas.openxmlformats.org/package/2006/relationships"><Relationship Id="rId2" Type="http://schemas.openxmlformats.org/officeDocument/2006/relationships/package" Target="../embeddings/Microsoft_Excel_Worksheet33.xlsx"/><Relationship Id="rId1" Type="http://schemas.openxmlformats.org/officeDocument/2006/relationships/themeOverride" Target="../theme/themeOverride32.xml"/></Relationships>
</file>

<file path=word/charts/_rels/chart34.xml.rels><?xml version="1.0" encoding="UTF-8" standalone="yes"?>
<Relationships xmlns="http://schemas.openxmlformats.org/package/2006/relationships"><Relationship Id="rId2" Type="http://schemas.openxmlformats.org/officeDocument/2006/relationships/package" Target="../embeddings/Microsoft_Excel_Worksheet34.xlsx"/><Relationship Id="rId1" Type="http://schemas.openxmlformats.org/officeDocument/2006/relationships/themeOverride" Target="../theme/themeOverride33.xml"/></Relationships>
</file>

<file path=word/charts/_rels/chart35.xml.rels><?xml version="1.0" encoding="UTF-8" standalone="yes"?>
<Relationships xmlns="http://schemas.openxmlformats.org/package/2006/relationships"><Relationship Id="rId2" Type="http://schemas.openxmlformats.org/officeDocument/2006/relationships/package" Target="../embeddings/Microsoft_Excel_Worksheet35.xlsx"/><Relationship Id="rId1" Type="http://schemas.openxmlformats.org/officeDocument/2006/relationships/themeOverride" Target="../theme/themeOverride34.xml"/></Relationships>
</file>

<file path=word/charts/_rels/chart36.xml.rels><?xml version="1.0" encoding="UTF-8" standalone="yes"?>
<Relationships xmlns="http://schemas.openxmlformats.org/package/2006/relationships"><Relationship Id="rId2" Type="http://schemas.openxmlformats.org/officeDocument/2006/relationships/package" Target="../embeddings/Microsoft_Excel_Worksheet36.xlsx"/><Relationship Id="rId1" Type="http://schemas.openxmlformats.org/officeDocument/2006/relationships/themeOverride" Target="../theme/themeOverride35.xml"/></Relationships>
</file>

<file path=word/charts/_rels/chart37.xml.rels><?xml version="1.0" encoding="UTF-8" standalone="yes"?>
<Relationships xmlns="http://schemas.openxmlformats.org/package/2006/relationships"><Relationship Id="rId2" Type="http://schemas.openxmlformats.org/officeDocument/2006/relationships/package" Target="../embeddings/Microsoft_Excel_Worksheet37.xlsx"/><Relationship Id="rId1" Type="http://schemas.openxmlformats.org/officeDocument/2006/relationships/themeOverride" Target="../theme/themeOverride36.xml"/></Relationships>
</file>

<file path=word/charts/_rels/chart38.xml.rels><?xml version="1.0" encoding="UTF-8" standalone="yes"?>
<Relationships xmlns="http://schemas.openxmlformats.org/package/2006/relationships"><Relationship Id="rId2" Type="http://schemas.openxmlformats.org/officeDocument/2006/relationships/package" Target="../embeddings/Microsoft_Excel_Worksheet38.xlsx"/><Relationship Id="rId1" Type="http://schemas.openxmlformats.org/officeDocument/2006/relationships/themeOverride" Target="../theme/themeOverride37.xml"/></Relationships>
</file>

<file path=word/charts/_rels/chart39.xml.rels><?xml version="1.0" encoding="UTF-8" standalone="yes"?>
<Relationships xmlns="http://schemas.openxmlformats.org/package/2006/relationships"><Relationship Id="rId2" Type="http://schemas.openxmlformats.org/officeDocument/2006/relationships/package" Target="../embeddings/Microsoft_Excel_Worksheet39.xlsx"/><Relationship Id="rId1" Type="http://schemas.openxmlformats.org/officeDocument/2006/relationships/themeOverride" Target="../theme/themeOverride38.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40.xml.rels><?xml version="1.0" encoding="UTF-8" standalone="yes"?>
<Relationships xmlns="http://schemas.openxmlformats.org/package/2006/relationships"><Relationship Id="rId2" Type="http://schemas.openxmlformats.org/officeDocument/2006/relationships/package" Target="../embeddings/Microsoft_Excel_Worksheet40.xlsx"/><Relationship Id="rId1" Type="http://schemas.openxmlformats.org/officeDocument/2006/relationships/themeOverride" Target="../theme/themeOverride39.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'ΚΑΤΑΣΤΑΣΗ ΕΠΙΧΕΙΡΗΣΗΣ ΜΕΘ.ΕΥΡΩΒ'!$A$3</c:f>
              <c:strCache>
                <c:ptCount val="1"/>
                <c:pt idx="0">
                  <c:v>ΜΕΣΟΣ ΟΡΟΣ ΕΕ</c:v>
                </c:pt>
              </c:strCache>
            </c:strRef>
          </c:tx>
          <c:cat>
            <c:strRef>
              <c:f>'ΚΑΤΑΣΤΑΣΗ ΕΠΙΧΕΙΡΗΣΗΣ ΜΕΘ.ΕΥΡΩΒ'!$B$2:$U$2</c:f>
              <c:strCache>
                <c:ptCount val="20"/>
                <c:pt idx="0">
                  <c:v>2009Β</c:v>
                </c:pt>
                <c:pt idx="1">
                  <c:v>2010Α</c:v>
                </c:pt>
                <c:pt idx="2">
                  <c:v>2010Β</c:v>
                </c:pt>
                <c:pt idx="3">
                  <c:v>2011Α</c:v>
                </c:pt>
                <c:pt idx="4">
                  <c:v>2011Β</c:v>
                </c:pt>
                <c:pt idx="5">
                  <c:v>2012Α</c:v>
                </c:pt>
                <c:pt idx="6">
                  <c:v>2012Β</c:v>
                </c:pt>
                <c:pt idx="7">
                  <c:v>2013Α</c:v>
                </c:pt>
                <c:pt idx="8">
                  <c:v>2013Β</c:v>
                </c:pt>
                <c:pt idx="9">
                  <c:v>2014Α</c:v>
                </c:pt>
                <c:pt idx="10">
                  <c:v>2014Β</c:v>
                </c:pt>
                <c:pt idx="11">
                  <c:v>2015Α</c:v>
                </c:pt>
                <c:pt idx="12">
                  <c:v>2015Β</c:v>
                </c:pt>
                <c:pt idx="13">
                  <c:v>2016Α</c:v>
                </c:pt>
                <c:pt idx="14">
                  <c:v>2016Β</c:v>
                </c:pt>
                <c:pt idx="15">
                  <c:v>2017Α</c:v>
                </c:pt>
                <c:pt idx="16">
                  <c:v>2017Β</c:v>
                </c:pt>
                <c:pt idx="17">
                  <c:v>2018Α</c:v>
                </c:pt>
                <c:pt idx="18">
                  <c:v>2018Β</c:v>
                </c:pt>
                <c:pt idx="19">
                  <c:v>2019A</c:v>
                </c:pt>
              </c:strCache>
            </c:strRef>
          </c:cat>
          <c:val>
            <c:numRef>
              <c:f>'ΚΑΤΑΣΤΑΣΗ ΕΠΙΧΕΙΡΗΣΗΣ ΜΕΘ.ΕΥΡΩΒ'!$B$3:$U$3</c:f>
              <c:numCache>
                <c:formatCode>0.0</c:formatCode>
                <c:ptCount val="20"/>
                <c:pt idx="0">
                  <c:v>59.3</c:v>
                </c:pt>
                <c:pt idx="1">
                  <c:v>64.7</c:v>
                </c:pt>
                <c:pt idx="2">
                  <c:v>65.5</c:v>
                </c:pt>
                <c:pt idx="3">
                  <c:v>72.099999999999994</c:v>
                </c:pt>
                <c:pt idx="4">
                  <c:v>70.8</c:v>
                </c:pt>
                <c:pt idx="5">
                  <c:v>70.5</c:v>
                </c:pt>
                <c:pt idx="6">
                  <c:v>67.5</c:v>
                </c:pt>
                <c:pt idx="7">
                  <c:v>65.3</c:v>
                </c:pt>
                <c:pt idx="8">
                  <c:v>66.099999999999994</c:v>
                </c:pt>
                <c:pt idx="9">
                  <c:v>67.900000000000006</c:v>
                </c:pt>
                <c:pt idx="10">
                  <c:v>71.7</c:v>
                </c:pt>
                <c:pt idx="11">
                  <c:v>72.3</c:v>
                </c:pt>
                <c:pt idx="12">
                  <c:v>74.900000000000006</c:v>
                </c:pt>
                <c:pt idx="13">
                  <c:v>75.599999999999994</c:v>
                </c:pt>
                <c:pt idx="14">
                  <c:v>75.5</c:v>
                </c:pt>
                <c:pt idx="15">
                  <c:v>75.8</c:v>
                </c:pt>
                <c:pt idx="16">
                  <c:v>80.2</c:v>
                </c:pt>
                <c:pt idx="17">
                  <c:v>81.599999999999994</c:v>
                </c:pt>
                <c:pt idx="18">
                  <c:v>81.7</c:v>
                </c:pt>
                <c:pt idx="19">
                  <c:v>76.599999999999994</c:v>
                </c:pt>
              </c:numCache>
            </c:numRef>
          </c:val>
          <c:smooth val="0"/>
        </c:ser>
        <c:ser>
          <c:idx val="1"/>
          <c:order val="1"/>
          <c:tx>
            <c:strRef>
              <c:f>'ΚΑΤΑΣΤΑΣΗ ΕΠΙΧΕΙΡΗΣΗΣ ΜΕΘ.ΕΥΡΩΒ'!$A$4</c:f>
              <c:strCache>
                <c:ptCount val="1"/>
                <c:pt idx="0">
                  <c:v>ΕΛΛΑΔΑ</c:v>
                </c:pt>
              </c:strCache>
            </c:strRef>
          </c:tx>
          <c:cat>
            <c:strRef>
              <c:f>'ΚΑΤΑΣΤΑΣΗ ΕΠΙΧΕΙΡΗΣΗΣ ΜΕΘ.ΕΥΡΩΒ'!$B$2:$U$2</c:f>
              <c:strCache>
                <c:ptCount val="20"/>
                <c:pt idx="0">
                  <c:v>2009Β</c:v>
                </c:pt>
                <c:pt idx="1">
                  <c:v>2010Α</c:v>
                </c:pt>
                <c:pt idx="2">
                  <c:v>2010Β</c:v>
                </c:pt>
                <c:pt idx="3">
                  <c:v>2011Α</c:v>
                </c:pt>
                <c:pt idx="4">
                  <c:v>2011Β</c:v>
                </c:pt>
                <c:pt idx="5">
                  <c:v>2012Α</c:v>
                </c:pt>
                <c:pt idx="6">
                  <c:v>2012Β</c:v>
                </c:pt>
                <c:pt idx="7">
                  <c:v>2013Α</c:v>
                </c:pt>
                <c:pt idx="8">
                  <c:v>2013Β</c:v>
                </c:pt>
                <c:pt idx="9">
                  <c:v>2014Α</c:v>
                </c:pt>
                <c:pt idx="10">
                  <c:v>2014Β</c:v>
                </c:pt>
                <c:pt idx="11">
                  <c:v>2015Α</c:v>
                </c:pt>
                <c:pt idx="12">
                  <c:v>2015Β</c:v>
                </c:pt>
                <c:pt idx="13">
                  <c:v>2016Α</c:v>
                </c:pt>
                <c:pt idx="14">
                  <c:v>2016Β</c:v>
                </c:pt>
                <c:pt idx="15">
                  <c:v>2017Α</c:v>
                </c:pt>
                <c:pt idx="16">
                  <c:v>2017Β</c:v>
                </c:pt>
                <c:pt idx="17">
                  <c:v>2018Α</c:v>
                </c:pt>
                <c:pt idx="18">
                  <c:v>2018Β</c:v>
                </c:pt>
                <c:pt idx="19">
                  <c:v>2019A</c:v>
                </c:pt>
              </c:strCache>
            </c:strRef>
          </c:cat>
          <c:val>
            <c:numRef>
              <c:f>'ΚΑΤΑΣΤΑΣΗ ΕΠΙΧΕΙΡΗΣΗΣ ΜΕΘ.ΕΥΡΩΒ'!$B$4:$U$4</c:f>
              <c:numCache>
                <c:formatCode>0.0</c:formatCode>
                <c:ptCount val="20"/>
                <c:pt idx="0">
                  <c:v>28.094059405940598</c:v>
                </c:pt>
                <c:pt idx="1">
                  <c:v>19.558676028084264</c:v>
                </c:pt>
                <c:pt idx="2">
                  <c:v>15.631262525050104</c:v>
                </c:pt>
                <c:pt idx="3">
                  <c:v>18.455366098294874</c:v>
                </c:pt>
                <c:pt idx="4">
                  <c:v>12.612612612612622</c:v>
                </c:pt>
                <c:pt idx="5">
                  <c:v>11.723446893787553</c:v>
                </c:pt>
                <c:pt idx="6">
                  <c:v>17.917917917917919</c:v>
                </c:pt>
                <c:pt idx="7">
                  <c:v>24.599999999999994</c:v>
                </c:pt>
                <c:pt idx="8">
                  <c:v>29.700000000000003</c:v>
                </c:pt>
                <c:pt idx="9">
                  <c:v>35.170340681362731</c:v>
                </c:pt>
                <c:pt idx="10">
                  <c:v>41.341341341341348</c:v>
                </c:pt>
                <c:pt idx="11">
                  <c:v>15.700000000000003</c:v>
                </c:pt>
                <c:pt idx="12">
                  <c:v>24.924924924924923</c:v>
                </c:pt>
                <c:pt idx="13">
                  <c:v>30.799999999999997</c:v>
                </c:pt>
                <c:pt idx="14">
                  <c:v>30.992978936810417</c:v>
                </c:pt>
                <c:pt idx="15">
                  <c:v>41.482965931863724</c:v>
                </c:pt>
                <c:pt idx="16">
                  <c:v>46.666666666666664</c:v>
                </c:pt>
                <c:pt idx="17">
                  <c:v>52.958876629889673</c:v>
                </c:pt>
                <c:pt idx="18">
                  <c:v>58.758758758758759</c:v>
                </c:pt>
                <c:pt idx="19">
                  <c:v>61.933534743202422</c:v>
                </c:pt>
              </c:numCache>
            </c:numRef>
          </c:val>
          <c:smooth val="0"/>
        </c:ser>
        <c:ser>
          <c:idx val="2"/>
          <c:order val="2"/>
          <c:tx>
            <c:strRef>
              <c:f>'ΚΑΤΑΣΤΑΣΗ ΕΠΙΧΕΙΡΗΣΗΣ ΜΕΘ.ΕΥΡΩΒ'!$A$5</c:f>
              <c:strCache>
                <c:ptCount val="1"/>
                <c:pt idx="0">
                  <c:v>ΒΟΡΡΑΣ -ΕΕ</c:v>
                </c:pt>
              </c:strCache>
            </c:strRef>
          </c:tx>
          <c:cat>
            <c:strRef>
              <c:f>'ΚΑΤΑΣΤΑΣΗ ΕΠΙΧΕΙΡΗΣΗΣ ΜΕΘ.ΕΥΡΩΒ'!$B$2:$U$2</c:f>
              <c:strCache>
                <c:ptCount val="20"/>
                <c:pt idx="0">
                  <c:v>2009Β</c:v>
                </c:pt>
                <c:pt idx="1">
                  <c:v>2010Α</c:v>
                </c:pt>
                <c:pt idx="2">
                  <c:v>2010Β</c:v>
                </c:pt>
                <c:pt idx="3">
                  <c:v>2011Α</c:v>
                </c:pt>
                <c:pt idx="4">
                  <c:v>2011Β</c:v>
                </c:pt>
                <c:pt idx="5">
                  <c:v>2012Α</c:v>
                </c:pt>
                <c:pt idx="6">
                  <c:v>2012Β</c:v>
                </c:pt>
                <c:pt idx="7">
                  <c:v>2013Α</c:v>
                </c:pt>
                <c:pt idx="8">
                  <c:v>2013Β</c:v>
                </c:pt>
                <c:pt idx="9">
                  <c:v>2014Α</c:v>
                </c:pt>
                <c:pt idx="10">
                  <c:v>2014Β</c:v>
                </c:pt>
                <c:pt idx="11">
                  <c:v>2015Α</c:v>
                </c:pt>
                <c:pt idx="12">
                  <c:v>2015Β</c:v>
                </c:pt>
                <c:pt idx="13">
                  <c:v>2016Α</c:v>
                </c:pt>
                <c:pt idx="14">
                  <c:v>2016Β</c:v>
                </c:pt>
                <c:pt idx="15">
                  <c:v>2017Α</c:v>
                </c:pt>
                <c:pt idx="16">
                  <c:v>2017Β</c:v>
                </c:pt>
                <c:pt idx="17">
                  <c:v>2018Α</c:v>
                </c:pt>
                <c:pt idx="18">
                  <c:v>2018Β</c:v>
                </c:pt>
                <c:pt idx="19">
                  <c:v>2019A</c:v>
                </c:pt>
              </c:strCache>
            </c:strRef>
          </c:cat>
          <c:val>
            <c:numRef>
              <c:f>'ΚΑΤΑΣΤΑΣΗ ΕΠΙΧΕΙΡΗΣΗΣ ΜΕΘ.ΕΥΡΩΒ'!$B$5:$U$5</c:f>
              <c:numCache>
                <c:formatCode>General</c:formatCode>
                <c:ptCount val="20"/>
                <c:pt idx="3" formatCode="0.0">
                  <c:v>78.900000000000006</c:v>
                </c:pt>
                <c:pt idx="4" formatCode="0.0">
                  <c:v>75.8</c:v>
                </c:pt>
                <c:pt idx="5" formatCode="0.0">
                  <c:v>75.900000000000006</c:v>
                </c:pt>
                <c:pt idx="6" formatCode="0.0">
                  <c:v>72.7</c:v>
                </c:pt>
                <c:pt idx="7" formatCode="0.0">
                  <c:v>69.599999999999994</c:v>
                </c:pt>
                <c:pt idx="8" formatCode="0.0">
                  <c:v>71</c:v>
                </c:pt>
                <c:pt idx="9" formatCode="0.0">
                  <c:v>72.5</c:v>
                </c:pt>
                <c:pt idx="10" formatCode="0.0">
                  <c:v>75.5</c:v>
                </c:pt>
                <c:pt idx="11" formatCode="0.0">
                  <c:v>74.099999999999994</c:v>
                </c:pt>
                <c:pt idx="12" formatCode="0.0">
                  <c:v>76.400000000000006</c:v>
                </c:pt>
                <c:pt idx="13" formatCode="0.0">
                  <c:v>77.099999999999994</c:v>
                </c:pt>
                <c:pt idx="14" formatCode="0.0">
                  <c:v>77.099999999999994</c:v>
                </c:pt>
                <c:pt idx="15" formatCode="0.0">
                  <c:v>77.3</c:v>
                </c:pt>
                <c:pt idx="16" formatCode="0.0">
                  <c:v>82.1</c:v>
                </c:pt>
                <c:pt idx="17" formatCode="0.0">
                  <c:v>83.2</c:v>
                </c:pt>
                <c:pt idx="18" formatCode="0.0">
                  <c:v>83.7</c:v>
                </c:pt>
                <c:pt idx="19" formatCode="0.0">
                  <c:v>77.400000000000006</c:v>
                </c:pt>
              </c:numCache>
            </c:numRef>
          </c:val>
          <c:smooth val="0"/>
        </c:ser>
        <c:ser>
          <c:idx val="3"/>
          <c:order val="3"/>
          <c:tx>
            <c:strRef>
              <c:f>'ΚΑΤΑΣΤΑΣΗ ΕΠΙΧΕΙΡΗΣΗΣ ΜΕΘ.ΕΥΡΩΒ'!$A$6</c:f>
              <c:strCache>
                <c:ptCount val="1"/>
                <c:pt idx="0">
                  <c:v>ΝΟΤΟΣ- ΕΕ</c:v>
                </c:pt>
              </c:strCache>
            </c:strRef>
          </c:tx>
          <c:cat>
            <c:strRef>
              <c:f>'ΚΑΤΑΣΤΑΣΗ ΕΠΙΧΕΙΡΗΣΗΣ ΜΕΘ.ΕΥΡΩΒ'!$B$2:$U$2</c:f>
              <c:strCache>
                <c:ptCount val="20"/>
                <c:pt idx="0">
                  <c:v>2009Β</c:v>
                </c:pt>
                <c:pt idx="1">
                  <c:v>2010Α</c:v>
                </c:pt>
                <c:pt idx="2">
                  <c:v>2010Β</c:v>
                </c:pt>
                <c:pt idx="3">
                  <c:v>2011Α</c:v>
                </c:pt>
                <c:pt idx="4">
                  <c:v>2011Β</c:v>
                </c:pt>
                <c:pt idx="5">
                  <c:v>2012Α</c:v>
                </c:pt>
                <c:pt idx="6">
                  <c:v>2012Β</c:v>
                </c:pt>
                <c:pt idx="7">
                  <c:v>2013Α</c:v>
                </c:pt>
                <c:pt idx="8">
                  <c:v>2013Β</c:v>
                </c:pt>
                <c:pt idx="9">
                  <c:v>2014Α</c:v>
                </c:pt>
                <c:pt idx="10">
                  <c:v>2014Β</c:v>
                </c:pt>
                <c:pt idx="11">
                  <c:v>2015Α</c:v>
                </c:pt>
                <c:pt idx="12">
                  <c:v>2015Β</c:v>
                </c:pt>
                <c:pt idx="13">
                  <c:v>2016Α</c:v>
                </c:pt>
                <c:pt idx="14">
                  <c:v>2016Β</c:v>
                </c:pt>
                <c:pt idx="15">
                  <c:v>2017Α</c:v>
                </c:pt>
                <c:pt idx="16">
                  <c:v>2017Β</c:v>
                </c:pt>
                <c:pt idx="17">
                  <c:v>2018Α</c:v>
                </c:pt>
                <c:pt idx="18">
                  <c:v>2018Β</c:v>
                </c:pt>
                <c:pt idx="19">
                  <c:v>2019A</c:v>
                </c:pt>
              </c:strCache>
            </c:strRef>
          </c:cat>
          <c:val>
            <c:numRef>
              <c:f>'ΚΑΤΑΣΤΑΣΗ ΕΠΙΧΕΙΡΗΣΗΣ ΜΕΘ.ΕΥΡΩΒ'!$B$6:$U$6</c:f>
              <c:numCache>
                <c:formatCode>General</c:formatCode>
                <c:ptCount val="20"/>
                <c:pt idx="3" formatCode="0.0">
                  <c:v>51.7</c:v>
                </c:pt>
                <c:pt idx="4" formatCode="0.0">
                  <c:v>60.7</c:v>
                </c:pt>
                <c:pt idx="5" formatCode="0.0">
                  <c:v>58.3</c:v>
                </c:pt>
                <c:pt idx="6" formatCode="0.0">
                  <c:v>56.2</c:v>
                </c:pt>
                <c:pt idx="7" formatCode="0.0">
                  <c:v>56.3</c:v>
                </c:pt>
                <c:pt idx="8" formatCode="0.0">
                  <c:v>55.8</c:v>
                </c:pt>
                <c:pt idx="9" formatCode="0.0">
                  <c:v>58.5</c:v>
                </c:pt>
                <c:pt idx="10" formatCode="0.0">
                  <c:v>63.7</c:v>
                </c:pt>
                <c:pt idx="11" formatCode="0.0">
                  <c:v>68.8</c:v>
                </c:pt>
                <c:pt idx="12" formatCode="0.0">
                  <c:v>71.400000000000006</c:v>
                </c:pt>
                <c:pt idx="13" formatCode="0.0">
                  <c:v>71.900000000000006</c:v>
                </c:pt>
                <c:pt idx="14" formatCode="0.0">
                  <c:v>71.7</c:v>
                </c:pt>
                <c:pt idx="15" formatCode="0.0">
                  <c:v>72.2</c:v>
                </c:pt>
                <c:pt idx="16" formatCode="0.0">
                  <c:v>75.5</c:v>
                </c:pt>
                <c:pt idx="17" formatCode="0.0">
                  <c:v>77.7</c:v>
                </c:pt>
                <c:pt idx="18" formatCode="0.0">
                  <c:v>76.900000000000006</c:v>
                </c:pt>
                <c:pt idx="19" formatCode="0.0">
                  <c:v>74.900000000000006</c:v>
                </c:pt>
              </c:numCache>
            </c:numRef>
          </c:val>
          <c:smooth val="0"/>
        </c:ser>
        <c:dLbls>
          <c:showLegendKey val="0"/>
          <c:showVal val="0"/>
          <c:showCatName val="0"/>
          <c:showSerName val="0"/>
          <c:showPercent val="0"/>
          <c:showBubbleSize val="0"/>
        </c:dLbls>
        <c:marker val="1"/>
        <c:smooth val="0"/>
        <c:axId val="346383104"/>
        <c:axId val="346384640"/>
      </c:lineChart>
      <c:catAx>
        <c:axId val="346383104"/>
        <c:scaling>
          <c:orientation val="minMax"/>
        </c:scaling>
        <c:delete val="0"/>
        <c:axPos val="b"/>
        <c:numFmt formatCode="mmm\-yy" sourceLinked="1"/>
        <c:majorTickMark val="none"/>
        <c:minorTickMark val="none"/>
        <c:tickLblPos val="nextTo"/>
        <c:crossAx val="346384640"/>
        <c:crosses val="autoZero"/>
        <c:auto val="1"/>
        <c:lblAlgn val="ctr"/>
        <c:lblOffset val="100"/>
        <c:noMultiLvlLbl val="0"/>
      </c:catAx>
      <c:valAx>
        <c:axId val="346384640"/>
        <c:scaling>
          <c:orientation val="minMax"/>
        </c:scaling>
        <c:delete val="0"/>
        <c:axPos val="l"/>
        <c:majorGridlines/>
        <c:numFmt formatCode="0.0" sourceLinked="1"/>
        <c:majorTickMark val="none"/>
        <c:minorTickMark val="none"/>
        <c:tickLblPos val="nextTo"/>
        <c:crossAx val="346383104"/>
        <c:crosses val="autoZero"/>
        <c:crossBetween val="between"/>
      </c:valAx>
    </c:plotArea>
    <c:legend>
      <c:legendPos val="r"/>
      <c:overlay val="0"/>
    </c:legend>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4.6086545939340071E-2"/>
          <c:y val="0.10837055431340963"/>
          <c:w val="0.94082203426672384"/>
          <c:h val="0.77744855606322094"/>
        </c:manualLayout>
      </c:layout>
      <c:lineChart>
        <c:grouping val="standard"/>
        <c:varyColors val="0"/>
        <c:ser>
          <c:idx val="0"/>
          <c:order val="0"/>
          <c:tx>
            <c:strRef>
              <c:f>Φύλλο1!$B$1</c:f>
              <c:strCache>
                <c:ptCount val="1"/>
                <c:pt idx="0">
                  <c:v>Αύξηση</c:v>
                </c:pt>
              </c:strCache>
            </c:strRef>
          </c:tx>
          <c:spPr>
            <a:ln>
              <a:solidFill>
                <a:schemeClr val="accent3">
                  <a:lumMod val="75000"/>
                </a:schemeClr>
              </a:solidFill>
            </a:ln>
          </c:spPr>
          <c:marker>
            <c:spPr>
              <a:solidFill>
                <a:schemeClr val="accent3">
                  <a:lumMod val="75000"/>
                </a:schemeClr>
              </a:solidFill>
              <a:ln>
                <a:solidFill>
                  <a:schemeClr val="accent3">
                    <a:lumMod val="75000"/>
                  </a:schemeClr>
                </a:solidFill>
              </a:ln>
            </c:spPr>
          </c:marker>
          <c:dLbls>
            <c:dLbl>
              <c:idx val="0"/>
              <c:layout>
                <c:manualLayout>
                  <c:x val="-3.9961654587398775E-2"/>
                  <c:y val="-3.910568096600378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3170-4529-8CBE-17860096F5C8}"/>
                </c:ext>
              </c:extLst>
            </c:dLbl>
            <c:dLbl>
              <c:idx val="1"/>
              <c:layout>
                <c:manualLayout>
                  <c:x val="-3.4293983675016612E-2"/>
                  <c:y val="-3.617501701199889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170-4529-8CBE-17860096F5C8}"/>
                </c:ext>
              </c:extLst>
            </c:dLbl>
            <c:dLbl>
              <c:idx val="2"/>
              <c:layout>
                <c:manualLayout>
                  <c:x val="-3.2660980055714002E-2"/>
                  <c:y val="-3.079463833824459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3170-4529-8CBE-17860096F5C8}"/>
                </c:ext>
              </c:extLst>
            </c:dLbl>
            <c:dLbl>
              <c:idx val="3"/>
              <c:layout>
                <c:manualLayout>
                  <c:x val="-3.6695541453999968E-2"/>
                  <c:y val="-2.795132138095767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3170-4529-8CBE-17860096F5C8}"/>
                </c:ext>
              </c:extLst>
            </c:dLbl>
            <c:dLbl>
              <c:idx val="4"/>
              <c:layout>
                <c:manualLayout>
                  <c:x val="-3.621520266811365E-2"/>
                  <c:y val="-3.363797251694292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3170-4529-8CBE-17860096F5C8}"/>
                </c:ext>
              </c:extLst>
            </c:dLbl>
            <c:dLbl>
              <c:idx val="5"/>
              <c:layout>
                <c:manualLayout>
                  <c:x val="-4.4380553576835714E-2"/>
                  <c:y val="-3.355030864626153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3170-4529-8CBE-17860096F5C8}"/>
                </c:ext>
              </c:extLst>
            </c:dLbl>
            <c:dLbl>
              <c:idx val="6"/>
              <c:layout>
                <c:manualLayout>
                  <c:x val="-2.4111427706289715E-2"/>
                  <c:y val="-3.665608335184977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3170-4529-8CBE-17860096F5C8}"/>
                </c:ext>
              </c:extLst>
            </c:dLbl>
            <c:dLbl>
              <c:idx val="7"/>
              <c:layout>
                <c:manualLayout>
                  <c:x val="-3.2853103467806781E-2"/>
                  <c:y val="-4.960386345961573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3170-4529-8CBE-17860096F5C8}"/>
                </c:ext>
              </c:extLst>
            </c:dLbl>
            <c:dLbl>
              <c:idx val="8"/>
              <c:layout>
                <c:manualLayout>
                  <c:x val="-3.1123992758974817E-2"/>
                  <c:y val="-1.653462115320520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3170-4529-8CBE-17860096F5C8}"/>
                </c:ext>
              </c:extLst>
            </c:dLbl>
            <c:dLbl>
              <c:idx val="9"/>
              <c:layout>
                <c:manualLayout>
                  <c:x val="-2.0749328505982996E-2"/>
                  <c:y val="-3.582501249861161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3170-4529-8CBE-17860096F5C8}"/>
                </c:ext>
              </c:extLst>
            </c:dLbl>
            <c:dLbl>
              <c:idx val="10"/>
              <c:layout>
                <c:manualLayout>
                  <c:x val="-3.9769546303134076E-2"/>
                  <c:y val="-2.755770192200867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3170-4529-8CBE-17860096F5C8}"/>
                </c:ext>
              </c:extLst>
            </c:dLbl>
            <c:dLbl>
              <c:idx val="11"/>
              <c:layout>
                <c:manualLayout>
                  <c:x val="-2.7665771341310659E-2"/>
                  <c:y val="-2.755770192200867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3170-4529-8CBE-17860096F5C8}"/>
                </c:ext>
              </c:extLst>
            </c:dLbl>
            <c:dLbl>
              <c:idx val="12"/>
              <c:layout>
                <c:manualLayout>
                  <c:x val="-3.6311324885470252E-2"/>
                  <c:y val="-3.582501249861161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3170-4529-8CBE-17860096F5C8}"/>
                </c:ext>
              </c:extLst>
            </c:dLbl>
            <c:dLbl>
              <c:idx val="13"/>
              <c:layout>
                <c:manualLayout>
                  <c:x val="-1.3832885670655413E-2"/>
                  <c:y val="-1.929039134540616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3170-4529-8CBE-17860096F5C8}"/>
                </c:ext>
              </c:extLst>
            </c:dLbl>
            <c:dLbl>
              <c:idx val="14"/>
              <c:layout>
                <c:manualLayout>
                  <c:x val="-1.556213252993676E-2"/>
                  <c:y val="-3.031347211420953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3170-4529-8CBE-17860096F5C8}"/>
                </c:ext>
              </c:extLst>
            </c:dLbl>
            <c:dLbl>
              <c:idx val="15"/>
              <c:layout>
                <c:manualLayout>
                  <c:x val="-2.8026596078696571E-2"/>
                  <c:y val="-3.031347211420963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3170-4529-8CBE-17860096F5C8}"/>
                </c:ext>
              </c:extLst>
            </c:dLbl>
            <c:dLbl>
              <c:idx val="16"/>
              <c:layout>
                <c:manualLayout>
                  <c:x val="-2.247843921481479E-2"/>
                  <c:y val="-2.755770192200866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3170-4529-8CBE-17860096F5C8}"/>
                </c:ext>
              </c:extLst>
            </c:dLbl>
            <c:dLbl>
              <c:idx val="17"/>
              <c:layout>
                <c:manualLayout>
                  <c:x val="-2.7208208749752556E-2"/>
                  <c:y val="-2.755770192200876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3170-4529-8CBE-17860096F5C8}"/>
                </c:ext>
              </c:extLst>
            </c:dLbl>
            <c:dLbl>
              <c:idx val="18"/>
              <c:layout>
                <c:manualLayout>
                  <c:x val="-2.0718712413596557E-2"/>
                  <c:y val="-3.306924230641039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0342-4CDC-912C-4EBF2B31AC13}"/>
                </c:ext>
              </c:extLst>
            </c:dLbl>
            <c:dLbl>
              <c:idx val="19"/>
              <c:layout>
                <c:manualLayout>
                  <c:x val="-6.0379764567221999E-8"/>
                  <c:y val="-1.377885096100443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4.176878897513802E-2"/>
                      <c:h val="4.8639343892345296E-2"/>
                    </c:manualLayout>
                  </c15:layout>
                </c:ext>
                <c:ext xmlns:c16="http://schemas.microsoft.com/office/drawing/2014/chart" uri="{C3380CC4-5D6E-409C-BE32-E72D297353CC}">
                  <c16:uniqueId val="{00000002-1D05-4246-9D31-6FB4FD939F5A}"/>
                </c:ext>
              </c:extLst>
            </c:dLbl>
            <c:spPr>
              <a:noFill/>
              <a:ln>
                <a:noFill/>
              </a:ln>
              <a:effectLst/>
            </c:spPr>
            <c:txPr>
              <a:bodyPr/>
              <a:lstStyle/>
              <a:p>
                <a:pPr>
                  <a:defRPr sz="800">
                    <a:latin typeface="Calibri" panose="020F0502020204030204" pitchFamily="34" charset="0"/>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Φύλλο1!$A$2:$A$21</c:f>
              <c:strCache>
                <c:ptCount val="20"/>
                <c:pt idx="0">
                  <c:v>ΦΕΒΡ. 2010</c:v>
                </c:pt>
                <c:pt idx="1">
                  <c:v>ΙΟΥΛ. 2010</c:v>
                </c:pt>
                <c:pt idx="2">
                  <c:v>ΙΑΝ. 2011</c:v>
                </c:pt>
                <c:pt idx="3">
                  <c:v>ΙΟΥΛ. 2011</c:v>
                </c:pt>
                <c:pt idx="4">
                  <c:v>ΙΑΝ. 2012</c:v>
                </c:pt>
                <c:pt idx="5">
                  <c:v>ΙΟΥΛ. 2012</c:v>
                </c:pt>
                <c:pt idx="6">
                  <c:v>ΙΑΝ. 2013</c:v>
                </c:pt>
                <c:pt idx="7">
                  <c:v>ΙΟΥΛ. 2013</c:v>
                </c:pt>
                <c:pt idx="8">
                  <c:v>ΦΕΒΡ. 2014</c:v>
                </c:pt>
                <c:pt idx="9">
                  <c:v>ΙΟΥΛ. 2014</c:v>
                </c:pt>
                <c:pt idx="10">
                  <c:v>ΦΕΒΡ. 2015</c:v>
                </c:pt>
                <c:pt idx="11">
                  <c:v>ΙΟΥΛ. 2015</c:v>
                </c:pt>
                <c:pt idx="12">
                  <c:v>ΦΕΒΡ. 2016</c:v>
                </c:pt>
                <c:pt idx="13">
                  <c:v>ΙΟΥΛ. 2016</c:v>
                </c:pt>
                <c:pt idx="14">
                  <c:v>ΦΕΒΡ. 2017</c:v>
                </c:pt>
                <c:pt idx="15">
                  <c:v>ΙΟΥΛ. 2017</c:v>
                </c:pt>
                <c:pt idx="16">
                  <c:v>ΦΕΒΡ. 2018</c:v>
                </c:pt>
                <c:pt idx="17">
                  <c:v>ΙΟΥΛ. 2018</c:v>
                </c:pt>
                <c:pt idx="18">
                  <c:v>ΦΕΒΡ. 2019</c:v>
                </c:pt>
                <c:pt idx="19">
                  <c:v>ΙΟΥΛ. 2019</c:v>
                </c:pt>
              </c:strCache>
            </c:strRef>
          </c:cat>
          <c:val>
            <c:numRef>
              <c:f>Φύλλο1!$B$2:$B$21</c:f>
              <c:numCache>
                <c:formatCode>General</c:formatCode>
                <c:ptCount val="20"/>
                <c:pt idx="0">
                  <c:v>4.9000000000000004</c:v>
                </c:pt>
                <c:pt idx="1">
                  <c:v>3.7</c:v>
                </c:pt>
                <c:pt idx="2">
                  <c:v>3.8</c:v>
                </c:pt>
                <c:pt idx="3">
                  <c:v>4.5999999999999996</c:v>
                </c:pt>
                <c:pt idx="4">
                  <c:v>5.8</c:v>
                </c:pt>
                <c:pt idx="5">
                  <c:v>6.9</c:v>
                </c:pt>
                <c:pt idx="6">
                  <c:v>5.7</c:v>
                </c:pt>
                <c:pt idx="7">
                  <c:v>9.6</c:v>
                </c:pt>
                <c:pt idx="8">
                  <c:v>6.2</c:v>
                </c:pt>
                <c:pt idx="9">
                  <c:v>8.6999999999999993</c:v>
                </c:pt>
                <c:pt idx="10">
                  <c:v>12.1</c:v>
                </c:pt>
                <c:pt idx="11">
                  <c:v>4.9000000000000004</c:v>
                </c:pt>
                <c:pt idx="12">
                  <c:v>6.8</c:v>
                </c:pt>
                <c:pt idx="13">
                  <c:v>9.1</c:v>
                </c:pt>
                <c:pt idx="14">
                  <c:v>7.7</c:v>
                </c:pt>
                <c:pt idx="15">
                  <c:v>8.1999999999999993</c:v>
                </c:pt>
                <c:pt idx="16">
                  <c:v>20.399999999999999</c:v>
                </c:pt>
                <c:pt idx="17">
                  <c:v>15.1</c:v>
                </c:pt>
                <c:pt idx="18">
                  <c:v>13</c:v>
                </c:pt>
                <c:pt idx="19" formatCode="0.0">
                  <c:v>14.88833746898263</c:v>
                </c:pt>
              </c:numCache>
            </c:numRef>
          </c:val>
          <c:smooth val="0"/>
          <c:extLst xmlns:c16r2="http://schemas.microsoft.com/office/drawing/2015/06/chart">
            <c:ext xmlns:c16="http://schemas.microsoft.com/office/drawing/2014/chart" uri="{C3380CC4-5D6E-409C-BE32-E72D297353CC}">
              <c16:uniqueId val="{00000012-3170-4529-8CBE-17860096F5C8}"/>
            </c:ext>
          </c:extLst>
        </c:ser>
        <c:ser>
          <c:idx val="1"/>
          <c:order val="1"/>
          <c:tx>
            <c:strRef>
              <c:f>Φύλλο1!$C$1</c:f>
              <c:strCache>
                <c:ptCount val="1"/>
                <c:pt idx="0">
                  <c:v>Μείωση </c:v>
                </c:pt>
              </c:strCache>
            </c:strRef>
          </c:tx>
          <c:spPr>
            <a:ln>
              <a:solidFill>
                <a:schemeClr val="accent2">
                  <a:lumMod val="75000"/>
                </a:schemeClr>
              </a:solidFill>
            </a:ln>
          </c:spPr>
          <c:marker>
            <c:spPr>
              <a:solidFill>
                <a:schemeClr val="accent2">
                  <a:lumMod val="75000"/>
                </a:schemeClr>
              </a:solidFill>
              <a:ln>
                <a:solidFill>
                  <a:schemeClr val="accent2">
                    <a:lumMod val="75000"/>
                  </a:schemeClr>
                </a:solidFill>
              </a:ln>
            </c:spPr>
          </c:marker>
          <c:dLbls>
            <c:dLbl>
              <c:idx val="0"/>
              <c:layout>
                <c:manualLayout>
                  <c:x val="-3.0729677378841965E-2"/>
                  <c:y val="2.961368007721364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3170-4529-8CBE-17860096F5C8}"/>
                </c:ext>
              </c:extLst>
            </c:dLbl>
            <c:dLbl>
              <c:idx val="1"/>
              <c:layout>
                <c:manualLayout>
                  <c:x val="-2.2190208713193212E-2"/>
                  <c:y val="-4.199272997444778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3170-4529-8CBE-17860096F5C8}"/>
                </c:ext>
              </c:extLst>
            </c:dLbl>
            <c:dLbl>
              <c:idx val="2"/>
              <c:layout>
                <c:manualLayout>
                  <c:x val="-2.7112808721736232E-2"/>
                  <c:y val="-3.376903434340628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3170-4529-8CBE-17860096F5C8}"/>
                </c:ext>
              </c:extLst>
            </c:dLbl>
            <c:dLbl>
              <c:idx val="3"/>
              <c:layout>
                <c:manualLayout>
                  <c:x val="-2.2226998932485791E-2"/>
                  <c:y val="-3.923695978224647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6-3170-4529-8CBE-17860096F5C8}"/>
                </c:ext>
              </c:extLst>
            </c:dLbl>
            <c:dLbl>
              <c:idx val="4"/>
              <c:layout>
                <c:manualLayout>
                  <c:x val="-3.1027931052928281E-2"/>
                  <c:y val="-2.799512576204064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7-3170-4529-8CBE-17860096F5C8}"/>
                </c:ext>
              </c:extLst>
            </c:dLbl>
            <c:dLbl>
              <c:idx val="5"/>
              <c:layout>
                <c:manualLayout>
                  <c:x val="-3.5724895301488244E-2"/>
                  <c:y val="-3.37692513331852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8-3170-4529-8CBE-17860096F5C8}"/>
                </c:ext>
              </c:extLst>
            </c:dLbl>
            <c:dLbl>
              <c:idx val="6"/>
              <c:layout>
                <c:manualLayout>
                  <c:x val="-2.3846746496766061E-2"/>
                  <c:y val="6.062694422841901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9-3170-4529-8CBE-17860096F5C8}"/>
                </c:ext>
              </c:extLst>
            </c:dLbl>
            <c:dLbl>
              <c:idx val="7"/>
              <c:layout>
                <c:manualLayout>
                  <c:x val="-2.6718528859112328E-2"/>
                  <c:y val="-5.235963365181646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A-3170-4529-8CBE-17860096F5C8}"/>
                </c:ext>
              </c:extLst>
            </c:dLbl>
            <c:dLbl>
              <c:idx val="8"/>
              <c:layout>
                <c:manualLayout>
                  <c:x val="-3.1123896861701358E-2"/>
                  <c:y val="-3.169124871542050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4.176878897513802E-2"/>
                      <c:h val="4.0372033315742691E-2"/>
                    </c:manualLayout>
                  </c15:layout>
                </c:ext>
                <c:ext xmlns:c16="http://schemas.microsoft.com/office/drawing/2014/chart" uri="{C3380CC4-5D6E-409C-BE32-E72D297353CC}">
                  <c16:uniqueId val="{0000001B-3170-4529-8CBE-17860096F5C8}"/>
                </c:ext>
              </c:extLst>
            </c:dLbl>
            <c:dLbl>
              <c:idx val="9"/>
              <c:layout>
                <c:manualLayout>
                  <c:x val="-2.0388435101413908E-2"/>
                  <c:y val="-3.858078269081223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C-3170-4529-8CBE-17860096F5C8}"/>
                </c:ext>
              </c:extLst>
            </c:dLbl>
            <c:dLbl>
              <c:idx val="10"/>
              <c:layout>
                <c:manualLayout>
                  <c:x val="-2.9394882050142578E-2"/>
                  <c:y val="-2.480193172980785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D-3170-4529-8CBE-17860096F5C8}"/>
                </c:ext>
              </c:extLst>
            </c:dLbl>
            <c:dLbl>
              <c:idx val="11"/>
              <c:layout>
                <c:manualLayout>
                  <c:x val="-2.7665771341310659E-2"/>
                  <c:y val="-2.755770192200867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E-3170-4529-8CBE-17860096F5C8}"/>
                </c:ext>
              </c:extLst>
            </c:dLbl>
            <c:dLbl>
              <c:idx val="12"/>
              <c:layout>
                <c:manualLayout>
                  <c:x val="-3.5273858460171094E-2"/>
                  <c:y val="-3.582501249861126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F-3170-4529-8CBE-17860096F5C8}"/>
                </c:ext>
              </c:extLst>
            </c:dLbl>
            <c:dLbl>
              <c:idx val="13"/>
              <c:layout>
                <c:manualLayout>
                  <c:x val="-3.0567618090743539E-2"/>
                  <c:y val="-4.133676987279201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0-3170-4529-8CBE-17860096F5C8}"/>
                </c:ext>
              </c:extLst>
            </c:dLbl>
            <c:dLbl>
              <c:idx val="14"/>
              <c:layout>
                <c:manualLayout>
                  <c:x val="-2.5966921549779604E-2"/>
                  <c:y val="-2.4801931729807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1-3170-4529-8CBE-17860096F5C8}"/>
                </c:ext>
              </c:extLst>
            </c:dLbl>
            <c:dLbl>
              <c:idx val="15"/>
              <c:layout>
                <c:manualLayout>
                  <c:x val="-2.0253184428783277E-2"/>
                  <c:y val="-2.755770192200866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2-3170-4529-8CBE-17860096F5C8}"/>
                </c:ext>
              </c:extLst>
            </c:dLbl>
            <c:dLbl>
              <c:idx val="16"/>
              <c:layout>
                <c:manualLayout>
                  <c:x val="-3.1124017621230491E-2"/>
                  <c:y val="2.204627003249628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4.176878897513802E-2"/>
                      <c:h val="4.3127803507943555E-2"/>
                    </c:manualLayout>
                  </c15:layout>
                </c:ext>
                <c:ext xmlns:c16="http://schemas.microsoft.com/office/drawing/2014/chart" uri="{C3380CC4-5D6E-409C-BE32-E72D297353CC}">
                  <c16:uniqueId val="{00000023-3170-4529-8CBE-17860096F5C8}"/>
                </c:ext>
              </c:extLst>
            </c:dLbl>
            <c:dLbl>
              <c:idx val="17"/>
              <c:layout>
                <c:manualLayout>
                  <c:x val="-2.81855156190375E-2"/>
                  <c:y val="3.306924230641039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4-3170-4529-8CBE-17860096F5C8}"/>
                </c:ext>
              </c:extLst>
            </c:dLbl>
            <c:dLbl>
              <c:idx val="18"/>
              <c:layout>
                <c:manualLayout>
                  <c:x val="-2.0718712413596557E-2"/>
                  <c:y val="2.755770192200856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0342-4CDC-912C-4EBF2B31AC13}"/>
                </c:ext>
              </c:extLst>
            </c:dLbl>
            <c:dLbl>
              <c:idx val="19"/>
              <c:layout>
                <c:manualLayout>
                  <c:x val="-3.0673524197794449E-3"/>
                  <c:y val="1.929039134540596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4.176878897513802E-2"/>
                      <c:h val="4.8639343892345296E-2"/>
                    </c:manualLayout>
                  </c15:layout>
                </c:ext>
                <c:ext xmlns:c16="http://schemas.microsoft.com/office/drawing/2014/chart" uri="{C3380CC4-5D6E-409C-BE32-E72D297353CC}">
                  <c16:uniqueId val="{00000001-1D05-4246-9D31-6FB4FD939F5A}"/>
                </c:ext>
              </c:extLst>
            </c:dLbl>
            <c:spPr>
              <a:noFill/>
              <a:ln>
                <a:noFill/>
              </a:ln>
              <a:effectLst/>
            </c:spPr>
            <c:txPr>
              <a:bodyPr/>
              <a:lstStyle/>
              <a:p>
                <a:pPr>
                  <a:defRPr sz="800">
                    <a:latin typeface="Calibri" panose="020F0502020204030204" pitchFamily="34" charset="0"/>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Φύλλο1!$A$2:$A$21</c:f>
              <c:strCache>
                <c:ptCount val="20"/>
                <c:pt idx="0">
                  <c:v>ΦΕΒΡ. 2010</c:v>
                </c:pt>
                <c:pt idx="1">
                  <c:v>ΙΟΥΛ. 2010</c:v>
                </c:pt>
                <c:pt idx="2">
                  <c:v>ΙΑΝ. 2011</c:v>
                </c:pt>
                <c:pt idx="3">
                  <c:v>ΙΟΥΛ. 2011</c:v>
                </c:pt>
                <c:pt idx="4">
                  <c:v>ΙΑΝ. 2012</c:v>
                </c:pt>
                <c:pt idx="5">
                  <c:v>ΙΟΥΛ. 2012</c:v>
                </c:pt>
                <c:pt idx="6">
                  <c:v>ΙΑΝ. 2013</c:v>
                </c:pt>
                <c:pt idx="7">
                  <c:v>ΙΟΥΛ. 2013</c:v>
                </c:pt>
                <c:pt idx="8">
                  <c:v>ΦΕΒΡ. 2014</c:v>
                </c:pt>
                <c:pt idx="9">
                  <c:v>ΙΟΥΛ. 2014</c:v>
                </c:pt>
                <c:pt idx="10">
                  <c:v>ΦΕΒΡ. 2015</c:v>
                </c:pt>
                <c:pt idx="11">
                  <c:v>ΙΟΥΛ. 2015</c:v>
                </c:pt>
                <c:pt idx="12">
                  <c:v>ΦΕΒΡ. 2016</c:v>
                </c:pt>
                <c:pt idx="13">
                  <c:v>ΙΟΥΛ. 2016</c:v>
                </c:pt>
                <c:pt idx="14">
                  <c:v>ΦΕΒΡ. 2017</c:v>
                </c:pt>
                <c:pt idx="15">
                  <c:v>ΙΟΥΛ. 2017</c:v>
                </c:pt>
                <c:pt idx="16">
                  <c:v>ΦΕΒΡ. 2018</c:v>
                </c:pt>
                <c:pt idx="17">
                  <c:v>ΙΟΥΛ. 2018</c:v>
                </c:pt>
                <c:pt idx="18">
                  <c:v>ΦΕΒΡ. 2019</c:v>
                </c:pt>
                <c:pt idx="19">
                  <c:v>ΙΟΥΛ. 2019</c:v>
                </c:pt>
              </c:strCache>
            </c:strRef>
          </c:cat>
          <c:val>
            <c:numRef>
              <c:f>Φύλλο1!$C$2:$C$21</c:f>
              <c:numCache>
                <c:formatCode>General</c:formatCode>
                <c:ptCount val="20"/>
                <c:pt idx="0">
                  <c:v>40.700000000000003</c:v>
                </c:pt>
                <c:pt idx="1">
                  <c:v>52.3</c:v>
                </c:pt>
                <c:pt idx="2">
                  <c:v>45.3</c:v>
                </c:pt>
                <c:pt idx="3">
                  <c:v>41.5</c:v>
                </c:pt>
                <c:pt idx="4">
                  <c:v>37.6</c:v>
                </c:pt>
                <c:pt idx="5">
                  <c:v>37.4</c:v>
                </c:pt>
                <c:pt idx="6">
                  <c:v>47</c:v>
                </c:pt>
                <c:pt idx="7">
                  <c:v>35</c:v>
                </c:pt>
                <c:pt idx="8">
                  <c:v>45.9</c:v>
                </c:pt>
                <c:pt idx="9">
                  <c:v>34.799999999999997</c:v>
                </c:pt>
                <c:pt idx="10">
                  <c:v>38</c:v>
                </c:pt>
                <c:pt idx="11">
                  <c:v>49.8</c:v>
                </c:pt>
                <c:pt idx="12">
                  <c:v>43.2</c:v>
                </c:pt>
                <c:pt idx="13">
                  <c:v>37.5</c:v>
                </c:pt>
                <c:pt idx="14">
                  <c:v>34.700000000000003</c:v>
                </c:pt>
                <c:pt idx="15">
                  <c:v>28.2</c:v>
                </c:pt>
                <c:pt idx="16">
                  <c:v>11.1</c:v>
                </c:pt>
                <c:pt idx="17">
                  <c:v>10.5</c:v>
                </c:pt>
                <c:pt idx="18">
                  <c:v>11.2</c:v>
                </c:pt>
                <c:pt idx="19" formatCode="0.0">
                  <c:v>13.399503722084367</c:v>
                </c:pt>
              </c:numCache>
            </c:numRef>
          </c:val>
          <c:smooth val="0"/>
          <c:extLst xmlns:c16r2="http://schemas.microsoft.com/office/drawing/2015/06/chart">
            <c:ext xmlns:c16="http://schemas.microsoft.com/office/drawing/2014/chart" uri="{C3380CC4-5D6E-409C-BE32-E72D297353CC}">
              <c16:uniqueId val="{00000025-3170-4529-8CBE-17860096F5C8}"/>
            </c:ext>
          </c:extLst>
        </c:ser>
        <c:ser>
          <c:idx val="2"/>
          <c:order val="2"/>
          <c:tx>
            <c:strRef>
              <c:f>Φύλλο1!$D$1</c:f>
              <c:strCache>
                <c:ptCount val="1"/>
                <c:pt idx="0">
                  <c:v>Σταθεροποίηση</c:v>
                </c:pt>
              </c:strCache>
            </c:strRef>
          </c:tx>
          <c:spPr>
            <a:ln>
              <a:solidFill>
                <a:schemeClr val="accent1">
                  <a:lumMod val="75000"/>
                </a:schemeClr>
              </a:solidFill>
            </a:ln>
          </c:spPr>
          <c:marker>
            <c:spPr>
              <a:solidFill>
                <a:schemeClr val="accent1">
                  <a:lumMod val="75000"/>
                </a:schemeClr>
              </a:solidFill>
              <a:ln>
                <a:solidFill>
                  <a:schemeClr val="accent1">
                    <a:lumMod val="75000"/>
                  </a:schemeClr>
                </a:solidFill>
              </a:ln>
            </c:spPr>
          </c:marker>
          <c:dLbls>
            <c:dLbl>
              <c:idx val="0"/>
              <c:layout>
                <c:manualLayout>
                  <c:x val="-2.6128784044571168E-2"/>
                  <c:y val="-3.359415091444862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6-3170-4529-8CBE-17860096F5C8}"/>
                </c:ext>
              </c:extLst>
            </c:dLbl>
            <c:dLbl>
              <c:idx val="1"/>
              <c:layout>
                <c:manualLayout>
                  <c:x val="-3.4294015640774216E-2"/>
                  <c:y val="4.085548654316176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7-3170-4529-8CBE-17860096F5C8}"/>
                </c:ext>
              </c:extLst>
            </c:dLbl>
            <c:dLbl>
              <c:idx val="2"/>
              <c:layout>
                <c:manualLayout>
                  <c:x val="-2.6615762499818861E-2"/>
                  <c:y val="3.551883992056428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8-3170-4529-8CBE-17860096F5C8}"/>
                </c:ext>
              </c:extLst>
            </c:dLbl>
            <c:dLbl>
              <c:idx val="3"/>
              <c:layout>
                <c:manualLayout>
                  <c:x val="-2.2862686038999786E-2"/>
                  <c:y val="-2.519561318583660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9-3170-4529-8CBE-17860096F5C8}"/>
                </c:ext>
              </c:extLst>
            </c:dLbl>
            <c:dLbl>
              <c:idx val="4"/>
              <c:layout>
                <c:manualLayout>
                  <c:x val="-3.5638877815319471E-2"/>
                  <c:y val="-2.782025955449400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A-3170-4529-8CBE-17860096F5C8}"/>
                </c:ext>
              </c:extLst>
            </c:dLbl>
            <c:dLbl>
              <c:idx val="5"/>
              <c:layout>
                <c:manualLayout>
                  <c:x val="-2.7665771341310659E-2"/>
                  <c:y val="-2.808281718697966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B-3170-4529-8CBE-17860096F5C8}"/>
                </c:ext>
              </c:extLst>
            </c:dLbl>
            <c:dLbl>
              <c:idx val="6"/>
              <c:layout>
                <c:manualLayout>
                  <c:x val="-3.1418852011612236E-2"/>
                  <c:y val="-5.126600516609270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C-3170-4529-8CBE-17860096F5C8}"/>
                </c:ext>
              </c:extLst>
            </c:dLbl>
            <c:dLbl>
              <c:idx val="7"/>
              <c:layout>
                <c:manualLayout>
                  <c:x val="-3.2853103467806781E-2"/>
                  <c:y val="-2.755770192200867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D-3170-4529-8CBE-17860096F5C8}"/>
                </c:ext>
              </c:extLst>
            </c:dLbl>
            <c:dLbl>
              <c:idx val="8"/>
              <c:layout>
                <c:manualLayout>
                  <c:x val="-3.1123957241465924E-2"/>
                  <c:y val="4.133655288301289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E-3170-4529-8CBE-17860096F5C8}"/>
                </c:ext>
              </c:extLst>
            </c:dLbl>
            <c:dLbl>
              <c:idx val="9"/>
              <c:layout>
                <c:manualLayout>
                  <c:x val="-3.1123992758974817E-2"/>
                  <c:y val="-3.306924230641029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F-3170-4529-8CBE-17860096F5C8}"/>
                </c:ext>
              </c:extLst>
            </c:dLbl>
            <c:dLbl>
              <c:idx val="10"/>
              <c:layout>
                <c:manualLayout>
                  <c:x val="-3.3634910130758533E-2"/>
                  <c:y val="-4.409232307521391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30-3170-4529-8CBE-17860096F5C8}"/>
                </c:ext>
              </c:extLst>
            </c:dLbl>
            <c:dLbl>
              <c:idx val="11"/>
              <c:layout>
                <c:manualLayout>
                  <c:x val="-3.0733058645657729E-2"/>
                  <c:y val="-1.929039134540606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31-3170-4529-8CBE-17860096F5C8}"/>
                </c:ext>
              </c:extLst>
            </c:dLbl>
            <c:dLbl>
              <c:idx val="12"/>
              <c:layout>
                <c:manualLayout>
                  <c:x val="-3.533399670568016E-2"/>
                  <c:y val="2.204616153760693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32-3170-4529-8CBE-17860096F5C8}"/>
                </c:ext>
              </c:extLst>
            </c:dLbl>
            <c:dLbl>
              <c:idx val="13"/>
              <c:layout>
                <c:manualLayout>
                  <c:x val="-3.8010390149886726E-2"/>
                  <c:y val="-3.306924230641039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33-3170-4529-8CBE-17860096F5C8}"/>
                </c:ext>
              </c:extLst>
            </c:dLbl>
            <c:dLbl>
              <c:idx val="14"/>
              <c:layout>
                <c:manualLayout>
                  <c:x val="-4.2400783970863144E-2"/>
                  <c:y val="-2.893537002833018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6.1706187235234723E-2"/>
                      <c:h val="6.241819485334963E-2"/>
                    </c:manualLayout>
                  </c15:layout>
                </c:ext>
                <c:ext xmlns:c16="http://schemas.microsoft.com/office/drawing/2014/chart" uri="{C3380CC4-5D6E-409C-BE32-E72D297353CC}">
                  <c16:uniqueId val="{00000034-3170-4529-8CBE-17860096F5C8}"/>
                </c:ext>
              </c:extLst>
            </c:dLbl>
            <c:dLbl>
              <c:idx val="15"/>
              <c:layout>
                <c:manualLayout>
                  <c:x val="-2.7831207160557151E-2"/>
                  <c:y val="-3.85807826908121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35-3170-4529-8CBE-17860096F5C8}"/>
                </c:ext>
              </c:extLst>
            </c:dLbl>
            <c:dLbl>
              <c:idx val="16"/>
              <c:layout>
                <c:manualLayout>
                  <c:x val="-3.2853112939142143E-2"/>
                  <c:y val="-3.306924230641039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36-3170-4529-8CBE-17860096F5C8}"/>
                </c:ext>
              </c:extLst>
            </c:dLbl>
            <c:dLbl>
              <c:idx val="17"/>
              <c:layout>
                <c:manualLayout>
                  <c:x val="-3.562877071629722E-2"/>
                  <c:y val="-3.031347211420953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37-3170-4529-8CBE-17860096F5C8}"/>
                </c:ext>
              </c:extLst>
            </c:dLbl>
            <c:dLbl>
              <c:idx val="18"/>
              <c:layout>
                <c:manualLayout>
                  <c:x val="-2.1239548262753528E-2"/>
                  <c:y val="-1.929039134540605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342-4CDC-912C-4EBF2B31AC13}"/>
                </c:ext>
              </c:extLst>
            </c:dLbl>
            <c:dLbl>
              <c:idx val="19"/>
              <c:layout>
                <c:manualLayout>
                  <c:x val="-1.5336460200076638E-3"/>
                  <c:y val="-3.858078269081213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1D05-4246-9D31-6FB4FD939F5A}"/>
                </c:ext>
              </c:extLst>
            </c:dLbl>
            <c:spPr>
              <a:noFill/>
              <a:ln>
                <a:noFill/>
              </a:ln>
              <a:effectLst/>
            </c:spPr>
            <c:txPr>
              <a:bodyPr/>
              <a:lstStyle/>
              <a:p>
                <a:pPr algn="ctr">
                  <a:defRPr lang="el-GR" sz="800" b="0" i="0" u="none" strike="noStrike" kern="1200" baseline="0">
                    <a:solidFill>
                      <a:prstClr val="black"/>
                    </a:solidFill>
                    <a:latin typeface="Calibri" panose="020F0502020204030204" pitchFamily="34" charset="0"/>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Φύλλο1!$A$2:$A$21</c:f>
              <c:strCache>
                <c:ptCount val="20"/>
                <c:pt idx="0">
                  <c:v>ΦΕΒΡ. 2010</c:v>
                </c:pt>
                <c:pt idx="1">
                  <c:v>ΙΟΥΛ. 2010</c:v>
                </c:pt>
                <c:pt idx="2">
                  <c:v>ΙΑΝ. 2011</c:v>
                </c:pt>
                <c:pt idx="3">
                  <c:v>ΙΟΥΛ. 2011</c:v>
                </c:pt>
                <c:pt idx="4">
                  <c:v>ΙΑΝ. 2012</c:v>
                </c:pt>
                <c:pt idx="5">
                  <c:v>ΙΟΥΛ. 2012</c:v>
                </c:pt>
                <c:pt idx="6">
                  <c:v>ΙΑΝ. 2013</c:v>
                </c:pt>
                <c:pt idx="7">
                  <c:v>ΙΟΥΛ. 2013</c:v>
                </c:pt>
                <c:pt idx="8">
                  <c:v>ΦΕΒΡ. 2014</c:v>
                </c:pt>
                <c:pt idx="9">
                  <c:v>ΙΟΥΛ. 2014</c:v>
                </c:pt>
                <c:pt idx="10">
                  <c:v>ΦΕΒΡ. 2015</c:v>
                </c:pt>
                <c:pt idx="11">
                  <c:v>ΙΟΥΛ. 2015</c:v>
                </c:pt>
                <c:pt idx="12">
                  <c:v>ΦΕΒΡ. 2016</c:v>
                </c:pt>
                <c:pt idx="13">
                  <c:v>ΙΟΥΛ. 2016</c:v>
                </c:pt>
                <c:pt idx="14">
                  <c:v>ΦΕΒΡ. 2017</c:v>
                </c:pt>
                <c:pt idx="15">
                  <c:v>ΙΟΥΛ. 2017</c:v>
                </c:pt>
                <c:pt idx="16">
                  <c:v>ΦΕΒΡ. 2018</c:v>
                </c:pt>
                <c:pt idx="17">
                  <c:v>ΙΟΥΛ. 2018</c:v>
                </c:pt>
                <c:pt idx="18">
                  <c:v>ΦΕΒΡ. 2019</c:v>
                </c:pt>
                <c:pt idx="19">
                  <c:v>ΙΟΥΛ. 2019</c:v>
                </c:pt>
              </c:strCache>
            </c:strRef>
          </c:cat>
          <c:val>
            <c:numRef>
              <c:f>Φύλλο1!$D$2:$D$21</c:f>
              <c:numCache>
                <c:formatCode>General</c:formatCode>
                <c:ptCount val="20"/>
                <c:pt idx="0">
                  <c:v>46.5</c:v>
                </c:pt>
                <c:pt idx="1">
                  <c:v>37</c:v>
                </c:pt>
                <c:pt idx="2">
                  <c:v>39.700000000000003</c:v>
                </c:pt>
                <c:pt idx="3">
                  <c:v>51.3</c:v>
                </c:pt>
                <c:pt idx="4">
                  <c:v>54.3</c:v>
                </c:pt>
                <c:pt idx="5">
                  <c:v>52.6</c:v>
                </c:pt>
                <c:pt idx="6">
                  <c:v>43.1</c:v>
                </c:pt>
                <c:pt idx="7">
                  <c:v>52.8</c:v>
                </c:pt>
                <c:pt idx="8">
                  <c:v>42.8</c:v>
                </c:pt>
                <c:pt idx="9">
                  <c:v>54.2</c:v>
                </c:pt>
                <c:pt idx="10">
                  <c:v>45.4</c:v>
                </c:pt>
                <c:pt idx="11">
                  <c:v>42.8</c:v>
                </c:pt>
                <c:pt idx="12">
                  <c:v>42.9</c:v>
                </c:pt>
                <c:pt idx="13">
                  <c:v>51.3</c:v>
                </c:pt>
                <c:pt idx="14">
                  <c:v>51.1</c:v>
                </c:pt>
                <c:pt idx="15">
                  <c:v>62.2</c:v>
                </c:pt>
                <c:pt idx="16">
                  <c:v>66.2</c:v>
                </c:pt>
                <c:pt idx="17">
                  <c:v>72.8</c:v>
                </c:pt>
                <c:pt idx="18">
                  <c:v>75.3</c:v>
                </c:pt>
                <c:pt idx="19" formatCode="0.0">
                  <c:v>68.858560794044664</c:v>
                </c:pt>
              </c:numCache>
            </c:numRef>
          </c:val>
          <c:smooth val="0"/>
          <c:extLst xmlns:c16r2="http://schemas.microsoft.com/office/drawing/2015/06/chart">
            <c:ext xmlns:c16="http://schemas.microsoft.com/office/drawing/2014/chart" uri="{C3380CC4-5D6E-409C-BE32-E72D297353CC}">
              <c16:uniqueId val="{00000038-3170-4529-8CBE-17860096F5C8}"/>
            </c:ext>
          </c:extLst>
        </c:ser>
        <c:dLbls>
          <c:showLegendKey val="0"/>
          <c:showVal val="0"/>
          <c:showCatName val="0"/>
          <c:showSerName val="0"/>
          <c:showPercent val="0"/>
          <c:showBubbleSize val="0"/>
        </c:dLbls>
        <c:marker val="1"/>
        <c:smooth val="0"/>
        <c:axId val="347436928"/>
        <c:axId val="347438464"/>
      </c:lineChart>
      <c:catAx>
        <c:axId val="347436928"/>
        <c:scaling>
          <c:orientation val="minMax"/>
        </c:scaling>
        <c:delete val="0"/>
        <c:axPos val="b"/>
        <c:numFmt formatCode="General" sourceLinked="0"/>
        <c:majorTickMark val="out"/>
        <c:minorTickMark val="none"/>
        <c:tickLblPos val="nextTo"/>
        <c:txPr>
          <a:bodyPr/>
          <a:lstStyle/>
          <a:p>
            <a:pPr>
              <a:defRPr sz="800">
                <a:latin typeface="Calibri" panose="020F0502020204030204" pitchFamily="34" charset="0"/>
              </a:defRPr>
            </a:pPr>
            <a:endParaRPr lang="el-GR"/>
          </a:p>
        </c:txPr>
        <c:crossAx val="347438464"/>
        <c:crosses val="autoZero"/>
        <c:auto val="1"/>
        <c:lblAlgn val="ctr"/>
        <c:lblOffset val="100"/>
        <c:noMultiLvlLbl val="0"/>
      </c:catAx>
      <c:valAx>
        <c:axId val="347438464"/>
        <c:scaling>
          <c:orientation val="minMax"/>
        </c:scaling>
        <c:delete val="0"/>
        <c:axPos val="l"/>
        <c:majorGridlines/>
        <c:numFmt formatCode="General" sourceLinked="1"/>
        <c:majorTickMark val="out"/>
        <c:minorTickMark val="none"/>
        <c:tickLblPos val="nextTo"/>
        <c:txPr>
          <a:bodyPr/>
          <a:lstStyle/>
          <a:p>
            <a:pPr>
              <a:defRPr sz="1200">
                <a:latin typeface="Calibri" panose="020F0502020204030204" pitchFamily="34" charset="0"/>
              </a:defRPr>
            </a:pPr>
            <a:endParaRPr lang="el-GR"/>
          </a:p>
        </c:txPr>
        <c:crossAx val="347436928"/>
        <c:crosses val="autoZero"/>
        <c:crossBetween val="between"/>
      </c:valAx>
    </c:plotArea>
    <c:legend>
      <c:legendPos val="r"/>
      <c:layout>
        <c:manualLayout>
          <c:xMode val="edge"/>
          <c:yMode val="edge"/>
          <c:x val="0.24488863982433448"/>
          <c:y val="4.6355526469281172E-3"/>
          <c:w val="0.36004622674775266"/>
          <c:h val="8.9591824866681463E-2"/>
        </c:manualLayout>
      </c:layout>
      <c:overlay val="0"/>
      <c:txPr>
        <a:bodyPr/>
        <a:lstStyle/>
        <a:p>
          <a:pPr>
            <a:defRPr sz="800">
              <a:latin typeface="Calibri" panose="020F0502020204030204" pitchFamily="34" charset="0"/>
            </a:defRPr>
          </a:pPr>
          <a:endParaRPr lang="el-GR"/>
        </a:p>
      </c:txPr>
    </c:legend>
    <c:plotVisOnly val="1"/>
    <c:dispBlanksAs val="gap"/>
    <c:showDLblsOverMax val="0"/>
  </c:chart>
  <c:txPr>
    <a:bodyPr/>
    <a:lstStyle/>
    <a:p>
      <a:pPr>
        <a:defRPr sz="1800"/>
      </a:pPr>
      <a:endParaRPr lang="el-GR"/>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Φύλλο1!$B$1</c:f>
              <c:strCache>
                <c:ptCount val="1"/>
                <c:pt idx="0">
                  <c:v>Σειρά 1</c:v>
                </c:pt>
              </c:strCache>
            </c:strRef>
          </c:tx>
          <c:spPr>
            <a:solidFill>
              <a:schemeClr val="accent1">
                <a:lumMod val="75000"/>
              </a:schemeClr>
            </a:solidFill>
          </c:spPr>
          <c:invertIfNegative val="0"/>
          <c:dPt>
            <c:idx val="1"/>
            <c:invertIfNegative val="0"/>
            <c:bubble3D val="0"/>
            <c:spPr>
              <a:solidFill>
                <a:schemeClr val="accent2"/>
              </a:solidFill>
              <a:ln>
                <a:solidFill>
                  <a:schemeClr val="accent2"/>
                </a:solidFill>
              </a:ln>
            </c:spPr>
            <c:extLst xmlns:c16r2="http://schemas.microsoft.com/office/drawing/2015/06/chart">
              <c:ext xmlns:c16="http://schemas.microsoft.com/office/drawing/2014/chart" uri="{C3380CC4-5D6E-409C-BE32-E72D297353CC}">
                <c16:uniqueId val="{00000000-FEA9-45AE-9A2F-93E312A042A3}"/>
              </c:ext>
            </c:extLst>
          </c:dPt>
          <c:dLbls>
            <c:dLbl>
              <c:idx val="4"/>
              <c:spPr/>
              <c:txPr>
                <a:bodyPr/>
                <a:lstStyle/>
                <a:p>
                  <a:pPr algn="ctr">
                    <a:defRPr lang="el-GR" sz="1200" b="0" i="0" u="none" strike="noStrike" kern="1200" baseline="0">
                      <a:solidFill>
                        <a:prstClr val="black"/>
                      </a:solidFill>
                      <a:latin typeface="Calibri" panose="020F0502020204030204" pitchFamily="34" charset="0"/>
                      <a:ea typeface="+mn-ea"/>
                      <a:cs typeface="+mn-cs"/>
                    </a:defRPr>
                  </a:pPr>
                  <a:endParaRPr lang="el-GR"/>
                </a:p>
              </c:txPr>
              <c:showLegendKey val="0"/>
              <c:showVal val="1"/>
              <c:showCatName val="0"/>
              <c:showSerName val="0"/>
              <c:showPercent val="0"/>
              <c:showBubbleSize val="0"/>
            </c:dLbl>
            <c:dLbl>
              <c:idx val="5"/>
              <c:spPr/>
              <c:txPr>
                <a:bodyPr/>
                <a:lstStyle/>
                <a:p>
                  <a:pPr algn="ctr">
                    <a:defRPr lang="el-GR" sz="1200" b="0" i="0" u="none" strike="noStrike" kern="1200" baseline="0">
                      <a:solidFill>
                        <a:prstClr val="black"/>
                      </a:solidFill>
                      <a:latin typeface="Calibri" panose="020F0502020204030204" pitchFamily="34" charset="0"/>
                      <a:ea typeface="+mn-ea"/>
                      <a:cs typeface="+mn-cs"/>
                    </a:defRPr>
                  </a:pPr>
                  <a:endParaRPr lang="el-GR"/>
                </a:p>
              </c:txPr>
              <c:showLegendKey val="0"/>
              <c:showVal val="1"/>
              <c:showCatName val="0"/>
              <c:showSerName val="0"/>
              <c:showPercent val="0"/>
              <c:showBubbleSize val="0"/>
            </c:dLbl>
            <c:spPr>
              <a:noFill/>
              <a:ln>
                <a:noFill/>
              </a:ln>
              <a:effectLst/>
            </c:spPr>
            <c:txPr>
              <a:bodyPr/>
              <a:lstStyle/>
              <a:p>
                <a:pPr>
                  <a:defRPr sz="1200">
                    <a:latin typeface="Calibri" panose="020F0502020204030204" pitchFamily="34" charset="0"/>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Φύλλο1!$A$2:$A$4</c:f>
              <c:strCache>
                <c:ptCount val="3"/>
                <c:pt idx="0">
                  <c:v>ΔΓ/ΔΑ</c:v>
                </c:pt>
                <c:pt idx="1">
                  <c:v>Όχι</c:v>
                </c:pt>
                <c:pt idx="2">
                  <c:v>Ναι</c:v>
                </c:pt>
              </c:strCache>
            </c:strRef>
          </c:cat>
          <c:val>
            <c:numRef>
              <c:f>Φύλλο1!$B$2:$B$4</c:f>
              <c:numCache>
                <c:formatCode>0.0</c:formatCode>
                <c:ptCount val="3"/>
                <c:pt idx="0">
                  <c:v>0.6</c:v>
                </c:pt>
                <c:pt idx="1">
                  <c:v>63</c:v>
                </c:pt>
                <c:pt idx="2">
                  <c:v>36.299999999999997</c:v>
                </c:pt>
              </c:numCache>
            </c:numRef>
          </c:val>
          <c:extLst xmlns:c16r2="http://schemas.microsoft.com/office/drawing/2015/06/chart">
            <c:ext xmlns:c16="http://schemas.microsoft.com/office/drawing/2014/chart" uri="{C3380CC4-5D6E-409C-BE32-E72D297353CC}">
              <c16:uniqueId val="{00000002-E784-41CE-97D9-6008270846CD}"/>
            </c:ext>
          </c:extLst>
        </c:ser>
        <c:dLbls>
          <c:showLegendKey val="0"/>
          <c:showVal val="0"/>
          <c:showCatName val="0"/>
          <c:showSerName val="0"/>
          <c:showPercent val="0"/>
          <c:showBubbleSize val="0"/>
        </c:dLbls>
        <c:gapWidth val="72"/>
        <c:axId val="346846720"/>
        <c:axId val="346848256"/>
      </c:barChart>
      <c:catAx>
        <c:axId val="346846720"/>
        <c:scaling>
          <c:orientation val="minMax"/>
        </c:scaling>
        <c:delete val="0"/>
        <c:axPos val="l"/>
        <c:numFmt formatCode="General" sourceLinked="0"/>
        <c:majorTickMark val="out"/>
        <c:minorTickMark val="none"/>
        <c:tickLblPos val="nextTo"/>
        <c:txPr>
          <a:bodyPr/>
          <a:lstStyle/>
          <a:p>
            <a:pPr>
              <a:defRPr sz="1200">
                <a:latin typeface="Calibri" panose="020F0502020204030204" pitchFamily="34" charset="0"/>
              </a:defRPr>
            </a:pPr>
            <a:endParaRPr lang="el-GR"/>
          </a:p>
        </c:txPr>
        <c:crossAx val="346848256"/>
        <c:crosses val="autoZero"/>
        <c:auto val="1"/>
        <c:lblAlgn val="ctr"/>
        <c:lblOffset val="100"/>
        <c:noMultiLvlLbl val="0"/>
      </c:catAx>
      <c:valAx>
        <c:axId val="346848256"/>
        <c:scaling>
          <c:orientation val="minMax"/>
          <c:max val="100"/>
        </c:scaling>
        <c:delete val="0"/>
        <c:axPos val="b"/>
        <c:majorGridlines/>
        <c:numFmt formatCode="0.0" sourceLinked="1"/>
        <c:majorTickMark val="out"/>
        <c:minorTickMark val="none"/>
        <c:tickLblPos val="nextTo"/>
        <c:txPr>
          <a:bodyPr/>
          <a:lstStyle/>
          <a:p>
            <a:pPr>
              <a:defRPr sz="1200">
                <a:latin typeface="Calibri" panose="020F0502020204030204" pitchFamily="34" charset="0"/>
              </a:defRPr>
            </a:pPr>
            <a:endParaRPr lang="el-GR"/>
          </a:p>
        </c:txPr>
        <c:crossAx val="346846720"/>
        <c:crosses val="autoZero"/>
        <c:crossBetween val="between"/>
        <c:majorUnit val="20"/>
      </c:valAx>
    </c:plotArea>
    <c:plotVisOnly val="1"/>
    <c:dispBlanksAs val="gap"/>
    <c:showDLblsOverMax val="0"/>
  </c:chart>
  <c:txPr>
    <a:bodyPr/>
    <a:lstStyle/>
    <a:p>
      <a:pPr>
        <a:defRPr sz="1800"/>
      </a:pPr>
      <a:endParaRPr lang="el-GR"/>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Φύλλο1!$B$1</c:f>
              <c:strCache>
                <c:ptCount val="1"/>
                <c:pt idx="0">
                  <c:v>Σειρά 1</c:v>
                </c:pt>
              </c:strCache>
            </c:strRef>
          </c:tx>
          <c:spPr>
            <a:solidFill>
              <a:srgbClr val="4F81BD">
                <a:lumMod val="75000"/>
              </a:srgbClr>
            </a:solidFill>
          </c:spPr>
          <c:invertIfNegative val="0"/>
          <c:dPt>
            <c:idx val="1"/>
            <c:invertIfNegative val="0"/>
            <c:bubble3D val="0"/>
            <c:spPr>
              <a:solidFill>
                <a:srgbClr val="4F81BD">
                  <a:lumMod val="75000"/>
                </a:srgbClr>
              </a:solidFill>
              <a:ln>
                <a:solidFill>
                  <a:schemeClr val="accent2"/>
                </a:solidFill>
              </a:ln>
            </c:spPr>
            <c:extLst xmlns:c16r2="http://schemas.microsoft.com/office/drawing/2015/06/chart">
              <c:ext xmlns:c16="http://schemas.microsoft.com/office/drawing/2014/chart" uri="{C3380CC4-5D6E-409C-BE32-E72D297353CC}">
                <c16:uniqueId val="{00000000-FEA9-45AE-9A2F-93E312A042A3}"/>
              </c:ext>
            </c:extLst>
          </c:dPt>
          <c:dLbls>
            <c:dLbl>
              <c:idx val="4"/>
              <c:spPr/>
              <c:txPr>
                <a:bodyPr/>
                <a:lstStyle/>
                <a:p>
                  <a:pPr algn="ctr">
                    <a:defRPr lang="el-GR" sz="1200" b="0" i="0" u="none" strike="noStrike" kern="1200" baseline="0">
                      <a:solidFill>
                        <a:prstClr val="black"/>
                      </a:solidFill>
                      <a:latin typeface="Calibri" panose="020F0502020204030204" pitchFamily="34" charset="0"/>
                      <a:ea typeface="+mn-ea"/>
                      <a:cs typeface="+mn-cs"/>
                    </a:defRPr>
                  </a:pPr>
                  <a:endParaRPr lang="el-GR"/>
                </a:p>
              </c:txPr>
              <c:showLegendKey val="0"/>
              <c:showVal val="1"/>
              <c:showCatName val="0"/>
              <c:showSerName val="0"/>
              <c:showPercent val="0"/>
              <c:showBubbleSize val="0"/>
            </c:dLbl>
            <c:dLbl>
              <c:idx val="5"/>
              <c:spPr/>
              <c:txPr>
                <a:bodyPr/>
                <a:lstStyle/>
                <a:p>
                  <a:pPr algn="ctr">
                    <a:defRPr lang="el-GR" sz="1200" b="0" i="0" u="none" strike="noStrike" kern="1200" baseline="0">
                      <a:solidFill>
                        <a:prstClr val="black"/>
                      </a:solidFill>
                      <a:latin typeface="Calibri" panose="020F0502020204030204" pitchFamily="34" charset="0"/>
                      <a:ea typeface="+mn-ea"/>
                      <a:cs typeface="+mn-cs"/>
                    </a:defRPr>
                  </a:pPr>
                  <a:endParaRPr lang="el-GR"/>
                </a:p>
              </c:txPr>
              <c:showLegendKey val="0"/>
              <c:showVal val="1"/>
              <c:showCatName val="0"/>
              <c:showSerName val="0"/>
              <c:showPercent val="0"/>
              <c:showBubbleSize val="0"/>
            </c:dLbl>
            <c:spPr>
              <a:noFill/>
              <a:ln>
                <a:noFill/>
              </a:ln>
              <a:effectLst/>
            </c:spPr>
            <c:txPr>
              <a:bodyPr/>
              <a:lstStyle/>
              <a:p>
                <a:pPr>
                  <a:defRPr sz="1200">
                    <a:latin typeface="Calibri" panose="020F0502020204030204" pitchFamily="34" charset="0"/>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Φύλλο1!$A$2:$A$4</c:f>
              <c:strCache>
                <c:ptCount val="3"/>
                <c:pt idx="0">
                  <c:v>Για κτιριακές εγκαταστάσεις και άλλον εξοπλισμό</c:v>
                </c:pt>
                <c:pt idx="1">
                  <c:v>Για μηχανολογικό εξοπλισμό</c:v>
                </c:pt>
                <c:pt idx="2">
                  <c:v>Για τεχνολογικό – ψηφιακό εξοπλισμό (πχ λογισμικό, ιστοσελίδα, ψηφιακά εργαλεία)</c:v>
                </c:pt>
              </c:strCache>
            </c:strRef>
          </c:cat>
          <c:val>
            <c:numRef>
              <c:f>Φύλλο1!$B$2:$B$4</c:f>
              <c:numCache>
                <c:formatCode>0.0</c:formatCode>
                <c:ptCount val="3"/>
                <c:pt idx="0">
                  <c:v>25.6</c:v>
                </c:pt>
                <c:pt idx="1">
                  <c:v>37.200000000000003</c:v>
                </c:pt>
                <c:pt idx="2">
                  <c:v>37.200000000000003</c:v>
                </c:pt>
              </c:numCache>
            </c:numRef>
          </c:val>
          <c:extLst xmlns:c16r2="http://schemas.microsoft.com/office/drawing/2015/06/chart">
            <c:ext xmlns:c16="http://schemas.microsoft.com/office/drawing/2014/chart" uri="{C3380CC4-5D6E-409C-BE32-E72D297353CC}">
              <c16:uniqueId val="{00000002-E784-41CE-97D9-6008270846CD}"/>
            </c:ext>
          </c:extLst>
        </c:ser>
        <c:dLbls>
          <c:showLegendKey val="0"/>
          <c:showVal val="0"/>
          <c:showCatName val="0"/>
          <c:showSerName val="0"/>
          <c:showPercent val="0"/>
          <c:showBubbleSize val="0"/>
        </c:dLbls>
        <c:gapWidth val="72"/>
        <c:axId val="348057984"/>
        <c:axId val="348059520"/>
      </c:barChart>
      <c:catAx>
        <c:axId val="348057984"/>
        <c:scaling>
          <c:orientation val="minMax"/>
        </c:scaling>
        <c:delete val="0"/>
        <c:axPos val="l"/>
        <c:numFmt formatCode="General" sourceLinked="0"/>
        <c:majorTickMark val="out"/>
        <c:minorTickMark val="none"/>
        <c:tickLblPos val="nextTo"/>
        <c:txPr>
          <a:bodyPr/>
          <a:lstStyle/>
          <a:p>
            <a:pPr>
              <a:defRPr sz="1200">
                <a:latin typeface="Calibri" panose="020F0502020204030204" pitchFamily="34" charset="0"/>
              </a:defRPr>
            </a:pPr>
            <a:endParaRPr lang="el-GR"/>
          </a:p>
        </c:txPr>
        <c:crossAx val="348059520"/>
        <c:crosses val="autoZero"/>
        <c:auto val="1"/>
        <c:lblAlgn val="ctr"/>
        <c:lblOffset val="100"/>
        <c:noMultiLvlLbl val="0"/>
      </c:catAx>
      <c:valAx>
        <c:axId val="348059520"/>
        <c:scaling>
          <c:orientation val="minMax"/>
          <c:max val="60"/>
        </c:scaling>
        <c:delete val="0"/>
        <c:axPos val="b"/>
        <c:majorGridlines/>
        <c:numFmt formatCode="0.0" sourceLinked="1"/>
        <c:majorTickMark val="out"/>
        <c:minorTickMark val="none"/>
        <c:tickLblPos val="nextTo"/>
        <c:txPr>
          <a:bodyPr/>
          <a:lstStyle/>
          <a:p>
            <a:pPr>
              <a:defRPr sz="1200">
                <a:latin typeface="Calibri" panose="020F0502020204030204" pitchFamily="34" charset="0"/>
              </a:defRPr>
            </a:pPr>
            <a:endParaRPr lang="el-GR"/>
          </a:p>
        </c:txPr>
        <c:crossAx val="348057984"/>
        <c:crosses val="autoZero"/>
        <c:crossBetween val="between"/>
        <c:majorUnit val="20"/>
      </c:valAx>
    </c:plotArea>
    <c:plotVisOnly val="1"/>
    <c:dispBlanksAs val="gap"/>
    <c:showDLblsOverMax val="0"/>
  </c:chart>
  <c:txPr>
    <a:bodyPr/>
    <a:lstStyle/>
    <a:p>
      <a:pPr>
        <a:defRPr sz="1800"/>
      </a:pPr>
      <a:endParaRPr lang="el-GR"/>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0152781378200834E-2"/>
          <c:y val="0.17447951109488719"/>
          <c:w val="0.93374347294745064"/>
          <c:h val="0.6177172994887693"/>
        </c:manualLayout>
      </c:layout>
      <c:lineChart>
        <c:grouping val="standard"/>
        <c:varyColors val="0"/>
        <c:ser>
          <c:idx val="0"/>
          <c:order val="0"/>
          <c:tx>
            <c:strRef>
              <c:f>Φύλλο1!$B$1</c:f>
              <c:strCache>
                <c:ptCount val="1"/>
                <c:pt idx="0">
                  <c:v>Βελτίωση της θέσης της επιχείρησης</c:v>
                </c:pt>
              </c:strCache>
            </c:strRef>
          </c:tx>
          <c:spPr>
            <a:ln>
              <a:solidFill>
                <a:schemeClr val="accent3">
                  <a:lumMod val="75000"/>
                </a:schemeClr>
              </a:solidFill>
            </a:ln>
          </c:spPr>
          <c:marker>
            <c:spPr>
              <a:solidFill>
                <a:schemeClr val="accent3">
                  <a:lumMod val="75000"/>
                </a:schemeClr>
              </a:solidFill>
              <a:ln>
                <a:solidFill>
                  <a:schemeClr val="accent3">
                    <a:lumMod val="75000"/>
                  </a:schemeClr>
                </a:solidFill>
              </a:ln>
            </c:spPr>
          </c:marker>
          <c:dLbls>
            <c:dLbl>
              <c:idx val="0"/>
              <c:layout>
                <c:manualLayout>
                  <c:x val="-2.6128784044571168E-2"/>
                  <c:y val="-3.359415091444862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FFDB-4B9C-981D-E3A69B783E7E}"/>
                </c:ext>
              </c:extLst>
            </c:dLbl>
            <c:dLbl>
              <c:idx val="1"/>
              <c:layout>
                <c:manualLayout>
                  <c:x val="-3.4294029058499674E-2"/>
                  <c:y val="-2.23961006096324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FFDB-4B9C-981D-E3A69B783E7E}"/>
                </c:ext>
              </c:extLst>
            </c:dLbl>
            <c:dLbl>
              <c:idx val="2"/>
              <c:layout>
                <c:manualLayout>
                  <c:x val="-3.2660980055714002E-2"/>
                  <c:y val="-3.079463833824459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FFDB-4B9C-981D-E3A69B783E7E}"/>
                </c:ext>
              </c:extLst>
            </c:dLbl>
            <c:dLbl>
              <c:idx val="3"/>
              <c:layout>
                <c:manualLayout>
                  <c:x val="-4.2459274072428194E-2"/>
                  <c:y val="-3.639366349065272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FFDB-4B9C-981D-E3A69B783E7E}"/>
                </c:ext>
              </c:extLst>
            </c:dLbl>
            <c:dLbl>
              <c:idx val="4"/>
              <c:layout>
                <c:manualLayout>
                  <c:x val="-3.1027931052928281E-2"/>
                  <c:y val="-3.639366349065272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FFDB-4B9C-981D-E3A69B783E7E}"/>
                </c:ext>
              </c:extLst>
            </c:dLbl>
            <c:dLbl>
              <c:idx val="5"/>
              <c:layout>
                <c:manualLayout>
                  <c:x val="-2.1229637036214211E-2"/>
                  <c:y val="-3.919317606685680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FFDB-4B9C-981D-E3A69B783E7E}"/>
                </c:ext>
              </c:extLst>
            </c:dLbl>
            <c:dLbl>
              <c:idx val="6"/>
              <c:layout>
                <c:manualLayout>
                  <c:x val="-3.1027931052928281E-2"/>
                  <c:y val="-3.919317606685680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FFDB-4B9C-981D-E3A69B783E7E}"/>
                </c:ext>
              </c:extLst>
            </c:dLbl>
            <c:dLbl>
              <c:idx val="7"/>
              <c:layout>
                <c:manualLayout>
                  <c:x val="-3.2660980055714002E-2"/>
                  <c:y val="-3.359415091444862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FFDB-4B9C-981D-E3A69B783E7E}"/>
                </c:ext>
              </c:extLst>
            </c:dLbl>
            <c:dLbl>
              <c:idx val="8"/>
              <c:layout>
                <c:manualLayout>
                  <c:x val="-2.6128784044571168E-2"/>
                  <c:y val="-3.079463833824455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FFDB-4B9C-981D-E3A69B783E7E}"/>
                </c:ext>
              </c:extLst>
            </c:dLbl>
            <c:dLbl>
              <c:idx val="9"/>
              <c:layout>
                <c:manualLayout>
                  <c:x val="-3.7560127064071212E-2"/>
                  <c:y val="-3.079463833824459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FFDB-4B9C-981D-E3A69B783E7E}"/>
                </c:ext>
              </c:extLst>
            </c:dLbl>
            <c:dLbl>
              <c:idx val="10"/>
              <c:layout>
                <c:manualLayout>
                  <c:x val="-2.5099568768736247E-2"/>
                  <c:y val="6.438878925269325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FFDB-4B9C-981D-E3A69B783E7E}"/>
                </c:ext>
              </c:extLst>
            </c:dLbl>
            <c:dLbl>
              <c:idx val="11"/>
              <c:layout>
                <c:manualLayout>
                  <c:x val="-2.4495735041785482E-2"/>
                  <c:y val="-3.639366349065272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FFDB-4B9C-981D-E3A69B783E7E}"/>
                </c:ext>
              </c:extLst>
            </c:dLbl>
            <c:dLbl>
              <c:idx val="12"/>
              <c:layout>
                <c:manualLayout>
                  <c:x val="-2.7761833047356882E-2"/>
                  <c:y val="-4.479220121926565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FFDB-4B9C-981D-E3A69B783E7E}"/>
                </c:ext>
              </c:extLst>
            </c:dLbl>
            <c:dLbl>
              <c:idx val="13"/>
              <c:layout>
                <c:manualLayout>
                  <c:x val="-3.4294029058499674E-2"/>
                  <c:y val="-4.199268864306083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FFDB-4B9C-981D-E3A69B783E7E}"/>
                </c:ext>
              </c:extLst>
            </c:dLbl>
            <c:dLbl>
              <c:idx val="14"/>
              <c:layout>
                <c:manualLayout>
                  <c:x val="-3.1028059639463808E-2"/>
                  <c:y val="-3.079463833824459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FFDB-4B9C-981D-E3A69B783E7E}"/>
                </c:ext>
              </c:extLst>
            </c:dLbl>
            <c:dLbl>
              <c:idx val="15"/>
              <c:layout>
                <c:manualLayout>
                  <c:x val="-2.6128784044571023E-2"/>
                  <c:y val="-3.919317606685680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FFDB-4B9C-981D-E3A69B783E7E}"/>
                </c:ext>
              </c:extLst>
            </c:dLbl>
            <c:dLbl>
              <c:idx val="16"/>
              <c:layout>
                <c:manualLayout>
                  <c:x val="-3.1027931052928281E-2"/>
                  <c:y val="-3.079463833824459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FFDB-4B9C-981D-E3A69B783E7E}"/>
                </c:ext>
              </c:extLst>
            </c:dLbl>
            <c:dLbl>
              <c:idx val="17"/>
              <c:layout>
                <c:manualLayout>
                  <c:x val="-3.6933221238723349E-2"/>
                  <c:y val="-2.799512576204054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FFDB-4B9C-981D-E3A69B783E7E}"/>
                </c:ext>
              </c:extLst>
            </c:dLbl>
            <c:dLbl>
              <c:idx val="18"/>
              <c:layout>
                <c:manualLayout>
                  <c:x val="-2.5195613185836602E-2"/>
                  <c:y val="3.079463833824460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5ACE-4CDF-BB1E-E509F7BECFA1}"/>
                </c:ext>
              </c:extLst>
            </c:dLbl>
            <c:spPr>
              <a:noFill/>
              <a:ln>
                <a:noFill/>
              </a:ln>
              <a:effectLst/>
            </c:spPr>
            <c:txPr>
              <a:bodyPr/>
              <a:lstStyle/>
              <a:p>
                <a:pPr>
                  <a:defRPr sz="800">
                    <a:latin typeface="Calibri" panose="020F0502020204030204" pitchFamily="34" charset="0"/>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Φύλλο1!$A$2:$A$21</c:f>
              <c:strCache>
                <c:ptCount val="20"/>
                <c:pt idx="0">
                  <c:v>ΦΕΒΡ. 2010</c:v>
                </c:pt>
                <c:pt idx="1">
                  <c:v>ΙΟΥΛ. 2010</c:v>
                </c:pt>
                <c:pt idx="2">
                  <c:v>ΙΑΝ. 2011</c:v>
                </c:pt>
                <c:pt idx="3">
                  <c:v>ΙΟΥΛ. 2011</c:v>
                </c:pt>
                <c:pt idx="4">
                  <c:v>ΙΑΝ. 2012</c:v>
                </c:pt>
                <c:pt idx="5">
                  <c:v>ΙΟΥΛ. 2012</c:v>
                </c:pt>
                <c:pt idx="6">
                  <c:v>ΙΑΝ. 2013</c:v>
                </c:pt>
                <c:pt idx="7">
                  <c:v>ΙΟΥΛ. 2013</c:v>
                </c:pt>
                <c:pt idx="8">
                  <c:v>ΦΕΒΡ. 2014</c:v>
                </c:pt>
                <c:pt idx="9">
                  <c:v>ΙΟΥΛ. 2014</c:v>
                </c:pt>
                <c:pt idx="10">
                  <c:v>ΦΕΒΡ. 2015</c:v>
                </c:pt>
                <c:pt idx="11">
                  <c:v>ΙΟΥΛ. 2015</c:v>
                </c:pt>
                <c:pt idx="12">
                  <c:v>ΦΕΒΡ. 2016</c:v>
                </c:pt>
                <c:pt idx="13">
                  <c:v>ΙΟΥΛ. 2016</c:v>
                </c:pt>
                <c:pt idx="14">
                  <c:v>ΦΕΒΡ. 2017</c:v>
                </c:pt>
                <c:pt idx="15">
                  <c:v>ΙΟΥΛ. 2017</c:v>
                </c:pt>
                <c:pt idx="16">
                  <c:v>ΦΕΒΡ. 2018</c:v>
                </c:pt>
                <c:pt idx="17">
                  <c:v>ΙΟΥΛ. 2018</c:v>
                </c:pt>
                <c:pt idx="18">
                  <c:v>ΦΕΒΡ. 2019</c:v>
                </c:pt>
                <c:pt idx="19">
                  <c:v>ΙΟΥΛ. 2019</c:v>
                </c:pt>
              </c:strCache>
            </c:strRef>
          </c:cat>
          <c:val>
            <c:numRef>
              <c:f>Φύλλο1!$B$2:$B$21</c:f>
              <c:numCache>
                <c:formatCode>General</c:formatCode>
                <c:ptCount val="20"/>
                <c:pt idx="0">
                  <c:v>11</c:v>
                </c:pt>
                <c:pt idx="1">
                  <c:v>7.2</c:v>
                </c:pt>
                <c:pt idx="2">
                  <c:v>6.7</c:v>
                </c:pt>
                <c:pt idx="3">
                  <c:v>7.4</c:v>
                </c:pt>
                <c:pt idx="4">
                  <c:v>4.3</c:v>
                </c:pt>
                <c:pt idx="5">
                  <c:v>8</c:v>
                </c:pt>
                <c:pt idx="6">
                  <c:v>11</c:v>
                </c:pt>
                <c:pt idx="7">
                  <c:v>5.9</c:v>
                </c:pt>
                <c:pt idx="8">
                  <c:v>15.7</c:v>
                </c:pt>
                <c:pt idx="9">
                  <c:v>11.3</c:v>
                </c:pt>
                <c:pt idx="10">
                  <c:v>24.2</c:v>
                </c:pt>
                <c:pt idx="11">
                  <c:v>6.3</c:v>
                </c:pt>
                <c:pt idx="12">
                  <c:v>9.4</c:v>
                </c:pt>
                <c:pt idx="13">
                  <c:v>8.5</c:v>
                </c:pt>
                <c:pt idx="14">
                  <c:v>11</c:v>
                </c:pt>
                <c:pt idx="15">
                  <c:v>10.9</c:v>
                </c:pt>
                <c:pt idx="16" formatCode="0.0">
                  <c:v>19.146825396825395</c:v>
                </c:pt>
                <c:pt idx="17">
                  <c:v>17.5</c:v>
                </c:pt>
                <c:pt idx="18">
                  <c:v>26.4</c:v>
                </c:pt>
                <c:pt idx="19">
                  <c:v>31</c:v>
                </c:pt>
              </c:numCache>
            </c:numRef>
          </c:val>
          <c:smooth val="0"/>
          <c:extLst xmlns:c16r2="http://schemas.microsoft.com/office/drawing/2015/06/chart">
            <c:ext xmlns:c16="http://schemas.microsoft.com/office/drawing/2014/chart" uri="{C3380CC4-5D6E-409C-BE32-E72D297353CC}">
              <c16:uniqueId val="{00000012-FFDB-4B9C-981D-E3A69B783E7E}"/>
            </c:ext>
          </c:extLst>
        </c:ser>
        <c:ser>
          <c:idx val="1"/>
          <c:order val="1"/>
          <c:tx>
            <c:strRef>
              <c:f>Φύλλο1!$C$1</c:f>
              <c:strCache>
                <c:ptCount val="1"/>
                <c:pt idx="0">
                  <c:v>Επιδείνωση της θέσης της επιχείρησης</c:v>
                </c:pt>
              </c:strCache>
            </c:strRef>
          </c:tx>
          <c:spPr>
            <a:ln>
              <a:solidFill>
                <a:schemeClr val="accent2"/>
              </a:solidFill>
            </a:ln>
          </c:spPr>
          <c:marker>
            <c:spPr>
              <a:solidFill>
                <a:schemeClr val="accent2"/>
              </a:solidFill>
              <a:ln>
                <a:solidFill>
                  <a:schemeClr val="accent2"/>
                </a:solidFill>
              </a:ln>
            </c:spPr>
          </c:marker>
          <c:dLbls>
            <c:dLbl>
              <c:idx val="0"/>
              <c:layout>
                <c:manualLayout>
                  <c:x val="-2.6128784044571168E-2"/>
                  <c:y val="-4.479220121926574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FFDB-4B9C-981D-E3A69B783E7E}"/>
                </c:ext>
              </c:extLst>
            </c:dLbl>
            <c:dLbl>
              <c:idx val="1"/>
              <c:layout>
                <c:manualLayout>
                  <c:x val="-3.4294029058499674E-2"/>
                  <c:y val="-4.199268864306083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FFDB-4B9C-981D-E3A69B783E7E}"/>
                </c:ext>
              </c:extLst>
            </c:dLbl>
            <c:dLbl>
              <c:idx val="2"/>
              <c:layout>
                <c:manualLayout>
                  <c:x val="-3.2660980055714002E-2"/>
                  <c:y val="-4.479220121926560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FFDB-4B9C-981D-E3A69B783E7E}"/>
                </c:ext>
              </c:extLst>
            </c:dLbl>
            <c:dLbl>
              <c:idx val="3"/>
              <c:layout>
                <c:manualLayout>
                  <c:x val="-4.0826225069642494E-2"/>
                  <c:y val="-4.199268864306083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6-FFDB-4B9C-981D-E3A69B783E7E}"/>
                </c:ext>
              </c:extLst>
            </c:dLbl>
            <c:dLbl>
              <c:idx val="4"/>
              <c:layout>
                <c:manualLayout>
                  <c:x val="-3.1027931052928281E-2"/>
                  <c:y val="-2.799512576204064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7-FFDB-4B9C-981D-E3A69B783E7E}"/>
                </c:ext>
              </c:extLst>
            </c:dLbl>
            <c:dLbl>
              <c:idx val="5"/>
              <c:layout>
                <c:manualLayout>
                  <c:x val="-2.4948558470160646E-2"/>
                  <c:y val="-2.23961006096324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8-FFDB-4B9C-981D-E3A69B783E7E}"/>
                </c:ext>
              </c:extLst>
            </c:dLbl>
            <c:dLbl>
              <c:idx val="6"/>
              <c:layout>
                <c:manualLayout>
                  <c:x val="-3.2660980055714002E-2"/>
                  <c:y val="-3.359415091444862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9-FFDB-4B9C-981D-E3A69B783E7E}"/>
                </c:ext>
              </c:extLst>
            </c:dLbl>
            <c:dLbl>
              <c:idx val="7"/>
              <c:layout>
                <c:manualLayout>
                  <c:x val="-3.2660980055714002E-2"/>
                  <c:y val="-3.919317606685680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A-FFDB-4B9C-981D-E3A69B783E7E}"/>
                </c:ext>
              </c:extLst>
            </c:dLbl>
            <c:dLbl>
              <c:idx val="8"/>
              <c:layout>
                <c:manualLayout>
                  <c:x val="-3.5927078061285381E-2"/>
                  <c:y val="-2.799512576204064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B-FFDB-4B9C-981D-E3A69B783E7E}"/>
                </c:ext>
              </c:extLst>
            </c:dLbl>
            <c:dLbl>
              <c:idx val="9"/>
              <c:layout>
                <c:manualLayout>
                  <c:x val="-2.9394882050142578E-2"/>
                  <c:y val="-4.479220121926567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C-FFDB-4B9C-981D-E3A69B783E7E}"/>
                </c:ext>
              </c:extLst>
            </c:dLbl>
            <c:dLbl>
              <c:idx val="10"/>
              <c:layout>
                <c:manualLayout>
                  <c:x val="-2.99438017624559E-2"/>
                  <c:y val="-5.878976410028525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D-FFDB-4B9C-981D-E3A69B783E7E}"/>
                </c:ext>
              </c:extLst>
            </c:dLbl>
            <c:dLbl>
              <c:idx val="11"/>
              <c:layout>
                <c:manualLayout>
                  <c:x val="-2.4495735041785482E-2"/>
                  <c:y val="-4.479220121926565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E-FFDB-4B9C-981D-E3A69B783E7E}"/>
                </c:ext>
              </c:extLst>
            </c:dLbl>
            <c:dLbl>
              <c:idx val="12"/>
              <c:layout>
                <c:manualLayout>
                  <c:x val="-3.5927078061285381E-2"/>
                  <c:y val="-3.079463833824459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F-FFDB-4B9C-981D-E3A69B783E7E}"/>
                </c:ext>
              </c:extLst>
            </c:dLbl>
            <c:dLbl>
              <c:idx val="13"/>
              <c:layout>
                <c:manualLayout>
                  <c:x val="-3.4294029058499674E-2"/>
                  <c:y val="-4.199268864306083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0-FFDB-4B9C-981D-E3A69B783E7E}"/>
                </c:ext>
              </c:extLst>
            </c:dLbl>
            <c:dLbl>
              <c:idx val="14"/>
              <c:layout>
                <c:manualLayout>
                  <c:x val="-3.1028059639463808E-2"/>
                  <c:y val="-3.639366349065272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1-FFDB-4B9C-981D-E3A69B783E7E}"/>
                </c:ext>
              </c:extLst>
            </c:dLbl>
            <c:dLbl>
              <c:idx val="15"/>
              <c:layout>
                <c:manualLayout>
                  <c:x val="-1.9596588033428577E-2"/>
                  <c:y val="-3.359415091444862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2-FFDB-4B9C-981D-E3A69B783E7E}"/>
                </c:ext>
              </c:extLst>
            </c:dLbl>
            <c:dLbl>
              <c:idx val="16"/>
              <c:layout>
                <c:manualLayout>
                  <c:x val="-2.5099568768736355E-2"/>
                  <c:y val="-4.199290907712199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3-FFDB-4B9C-981D-E3A69B783E7E}"/>
                </c:ext>
              </c:extLst>
            </c:dLbl>
            <c:dLbl>
              <c:idx val="17"/>
              <c:layout>
                <c:manualLayout>
                  <c:x val="-2.8405340583072685E-2"/>
                  <c:y val="-4.479220121926488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4-FFDB-4B9C-981D-E3A69B783E7E}"/>
                </c:ext>
              </c:extLst>
            </c:dLbl>
            <c:dLbl>
              <c:idx val="18"/>
              <c:layout>
                <c:manualLayout>
                  <c:x val="-2.6807712308343067E-2"/>
                  <c:y val="-2.799512576204054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5ACE-4CDF-BB1E-E509F7BECFA1}"/>
                </c:ext>
              </c:extLst>
            </c:dLbl>
            <c:dLbl>
              <c:idx val="19"/>
              <c:layout>
                <c:manualLayout>
                  <c:x val="0"/>
                  <c:y val="-3.359415091444865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03B3-45D1-88F6-520AFE738212}"/>
                </c:ext>
              </c:extLst>
            </c:dLbl>
            <c:spPr>
              <a:noFill/>
              <a:ln>
                <a:noFill/>
              </a:ln>
              <a:effectLst/>
            </c:spPr>
            <c:txPr>
              <a:bodyPr/>
              <a:lstStyle/>
              <a:p>
                <a:pPr>
                  <a:defRPr sz="800">
                    <a:latin typeface="Calibri" panose="020F0502020204030204" pitchFamily="34" charset="0"/>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Φύλλο1!$A$2:$A$21</c:f>
              <c:strCache>
                <c:ptCount val="20"/>
                <c:pt idx="0">
                  <c:v>ΦΕΒΡ. 2010</c:v>
                </c:pt>
                <c:pt idx="1">
                  <c:v>ΙΟΥΛ. 2010</c:v>
                </c:pt>
                <c:pt idx="2">
                  <c:v>ΙΑΝ. 2011</c:v>
                </c:pt>
                <c:pt idx="3">
                  <c:v>ΙΟΥΛ. 2011</c:v>
                </c:pt>
                <c:pt idx="4">
                  <c:v>ΙΑΝ. 2012</c:v>
                </c:pt>
                <c:pt idx="5">
                  <c:v>ΙΟΥΛ. 2012</c:v>
                </c:pt>
                <c:pt idx="6">
                  <c:v>ΙΑΝ. 2013</c:v>
                </c:pt>
                <c:pt idx="7">
                  <c:v>ΙΟΥΛ. 2013</c:v>
                </c:pt>
                <c:pt idx="8">
                  <c:v>ΦΕΒΡ. 2014</c:v>
                </c:pt>
                <c:pt idx="9">
                  <c:v>ΙΟΥΛ. 2014</c:v>
                </c:pt>
                <c:pt idx="10">
                  <c:v>ΦΕΒΡ. 2015</c:v>
                </c:pt>
                <c:pt idx="11">
                  <c:v>ΙΟΥΛ. 2015</c:v>
                </c:pt>
                <c:pt idx="12">
                  <c:v>ΦΕΒΡ. 2016</c:v>
                </c:pt>
                <c:pt idx="13">
                  <c:v>ΙΟΥΛ. 2016</c:v>
                </c:pt>
                <c:pt idx="14">
                  <c:v>ΦΕΒΡ. 2017</c:v>
                </c:pt>
                <c:pt idx="15">
                  <c:v>ΙΟΥΛ. 2017</c:v>
                </c:pt>
                <c:pt idx="16">
                  <c:v>ΦΕΒΡ. 2018</c:v>
                </c:pt>
                <c:pt idx="17">
                  <c:v>ΙΟΥΛ. 2018</c:v>
                </c:pt>
                <c:pt idx="18">
                  <c:v>ΦΕΒΡ. 2019</c:v>
                </c:pt>
                <c:pt idx="19">
                  <c:v>ΙΟΥΛ. 2019</c:v>
                </c:pt>
              </c:strCache>
            </c:strRef>
          </c:cat>
          <c:val>
            <c:numRef>
              <c:f>Φύλλο1!$C$2:$C$21</c:f>
              <c:numCache>
                <c:formatCode>General</c:formatCode>
                <c:ptCount val="20"/>
                <c:pt idx="0">
                  <c:v>55.4</c:v>
                </c:pt>
                <c:pt idx="1">
                  <c:v>67.099999999999994</c:v>
                </c:pt>
                <c:pt idx="2">
                  <c:v>68</c:v>
                </c:pt>
                <c:pt idx="3">
                  <c:v>65.2</c:v>
                </c:pt>
                <c:pt idx="4">
                  <c:v>77.2</c:v>
                </c:pt>
                <c:pt idx="5">
                  <c:v>64.7</c:v>
                </c:pt>
                <c:pt idx="6">
                  <c:v>62.9</c:v>
                </c:pt>
                <c:pt idx="7">
                  <c:v>68.099999999999994</c:v>
                </c:pt>
                <c:pt idx="8">
                  <c:v>51.1</c:v>
                </c:pt>
                <c:pt idx="9">
                  <c:v>56.1</c:v>
                </c:pt>
                <c:pt idx="10">
                  <c:v>31.4</c:v>
                </c:pt>
                <c:pt idx="11">
                  <c:v>67.900000000000006</c:v>
                </c:pt>
                <c:pt idx="12">
                  <c:v>61.2</c:v>
                </c:pt>
                <c:pt idx="13">
                  <c:v>59.5</c:v>
                </c:pt>
                <c:pt idx="14">
                  <c:v>58.8</c:v>
                </c:pt>
                <c:pt idx="15">
                  <c:v>47.4</c:v>
                </c:pt>
                <c:pt idx="16" formatCode="0.0">
                  <c:v>38.492063492063494</c:v>
                </c:pt>
                <c:pt idx="17">
                  <c:v>37.6</c:v>
                </c:pt>
                <c:pt idx="18">
                  <c:v>29.3</c:v>
                </c:pt>
                <c:pt idx="19">
                  <c:v>16.600000000000001</c:v>
                </c:pt>
              </c:numCache>
            </c:numRef>
          </c:val>
          <c:smooth val="0"/>
          <c:extLst xmlns:c16r2="http://schemas.microsoft.com/office/drawing/2015/06/chart">
            <c:ext xmlns:c16="http://schemas.microsoft.com/office/drawing/2014/chart" uri="{C3380CC4-5D6E-409C-BE32-E72D297353CC}">
              <c16:uniqueId val="{00000025-FFDB-4B9C-981D-E3A69B783E7E}"/>
            </c:ext>
          </c:extLst>
        </c:ser>
        <c:ser>
          <c:idx val="2"/>
          <c:order val="2"/>
          <c:tx>
            <c:strRef>
              <c:f>Φύλλο1!$D$1</c:f>
              <c:strCache>
                <c:ptCount val="1"/>
                <c:pt idx="0">
                  <c:v>Σταθεροποίηση της θέσης της επιχείρησης</c:v>
                </c:pt>
              </c:strCache>
            </c:strRef>
          </c:tx>
          <c:spPr>
            <a:ln>
              <a:solidFill>
                <a:schemeClr val="accent1">
                  <a:lumMod val="75000"/>
                </a:schemeClr>
              </a:solidFill>
            </a:ln>
          </c:spPr>
          <c:marker>
            <c:spPr>
              <a:solidFill>
                <a:schemeClr val="accent1">
                  <a:lumMod val="75000"/>
                </a:schemeClr>
              </a:solidFill>
              <a:ln>
                <a:solidFill>
                  <a:schemeClr val="accent1">
                    <a:lumMod val="75000"/>
                  </a:schemeClr>
                </a:solidFill>
              </a:ln>
            </c:spPr>
          </c:marker>
          <c:dLbls>
            <c:dLbl>
              <c:idx val="10"/>
              <c:layout>
                <c:manualLayout>
                  <c:x val="-4.1672773986830593E-2"/>
                  <c:y val="2.7085394391804792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30-FFDB-4B9C-981D-E3A69B783E7E}"/>
                </c:ext>
              </c:extLst>
            </c:dLbl>
            <c:dLbl>
              <c:idx val="15"/>
              <c:layout>
                <c:manualLayout>
                  <c:x val="-3.6429892476932998E-2"/>
                  <c:y val="-1.7706806827460089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35-FFDB-4B9C-981D-E3A69B783E7E}"/>
                </c:ext>
              </c:extLst>
            </c:dLbl>
            <c:dLbl>
              <c:idx val="16"/>
              <c:layout>
                <c:manualLayout>
                  <c:x val="-3.2780204627123707E-2"/>
                  <c:y val="2.4285881815600735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36-FFDB-4B9C-981D-E3A69B783E7E}"/>
                </c:ext>
              </c:extLst>
            </c:dLbl>
            <c:dLbl>
              <c:idx val="17"/>
              <c:layout>
                <c:manualLayout>
                  <c:x val="-2.9816014840554489E-2"/>
                  <c:y val="2.7085394391804792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37-FFDB-4B9C-981D-E3A69B783E7E}"/>
                </c:ext>
              </c:extLst>
            </c:dLbl>
            <c:spPr>
              <a:noFill/>
              <a:ln>
                <a:noFill/>
              </a:ln>
              <a:effectLst/>
            </c:spPr>
            <c:txPr>
              <a:bodyPr/>
              <a:lstStyle/>
              <a:p>
                <a:pPr algn="ctr">
                  <a:defRPr lang="el-GR" sz="800" b="0" i="0" u="none" strike="noStrike" kern="1200" baseline="0">
                    <a:solidFill>
                      <a:prstClr val="black"/>
                    </a:solidFill>
                    <a:latin typeface="Calibri" panose="020F0502020204030204" pitchFamily="34" charset="0"/>
                    <a:ea typeface="+mn-ea"/>
                    <a:cs typeface="+mn-cs"/>
                  </a:defRPr>
                </a:pPr>
                <a:endParaRPr lang="el-GR"/>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Φύλλο1!$A$2:$A$21</c:f>
              <c:strCache>
                <c:ptCount val="20"/>
                <c:pt idx="0">
                  <c:v>ΦΕΒΡ. 2010</c:v>
                </c:pt>
                <c:pt idx="1">
                  <c:v>ΙΟΥΛ. 2010</c:v>
                </c:pt>
                <c:pt idx="2">
                  <c:v>ΙΑΝ. 2011</c:v>
                </c:pt>
                <c:pt idx="3">
                  <c:v>ΙΟΥΛ. 2011</c:v>
                </c:pt>
                <c:pt idx="4">
                  <c:v>ΙΑΝ. 2012</c:v>
                </c:pt>
                <c:pt idx="5">
                  <c:v>ΙΟΥΛ. 2012</c:v>
                </c:pt>
                <c:pt idx="6">
                  <c:v>ΙΑΝ. 2013</c:v>
                </c:pt>
                <c:pt idx="7">
                  <c:v>ΙΟΥΛ. 2013</c:v>
                </c:pt>
                <c:pt idx="8">
                  <c:v>ΦΕΒΡ. 2014</c:v>
                </c:pt>
                <c:pt idx="9">
                  <c:v>ΙΟΥΛ. 2014</c:v>
                </c:pt>
                <c:pt idx="10">
                  <c:v>ΦΕΒΡ. 2015</c:v>
                </c:pt>
                <c:pt idx="11">
                  <c:v>ΙΟΥΛ. 2015</c:v>
                </c:pt>
                <c:pt idx="12">
                  <c:v>ΦΕΒΡ. 2016</c:v>
                </c:pt>
                <c:pt idx="13">
                  <c:v>ΙΟΥΛ. 2016</c:v>
                </c:pt>
                <c:pt idx="14">
                  <c:v>ΦΕΒΡ. 2017</c:v>
                </c:pt>
                <c:pt idx="15">
                  <c:v>ΙΟΥΛ. 2017</c:v>
                </c:pt>
                <c:pt idx="16">
                  <c:v>ΦΕΒΡ. 2018</c:v>
                </c:pt>
                <c:pt idx="17">
                  <c:v>ΙΟΥΛ. 2018</c:v>
                </c:pt>
                <c:pt idx="18">
                  <c:v>ΦΕΒΡ. 2019</c:v>
                </c:pt>
                <c:pt idx="19">
                  <c:v>ΙΟΥΛ. 2019</c:v>
                </c:pt>
              </c:strCache>
            </c:strRef>
          </c:cat>
          <c:val>
            <c:numRef>
              <c:f>Φύλλο1!$D$2:$D$21</c:f>
              <c:numCache>
                <c:formatCode>General</c:formatCode>
                <c:ptCount val="20"/>
                <c:pt idx="0">
                  <c:v>27.3</c:v>
                </c:pt>
                <c:pt idx="1">
                  <c:v>17.2</c:v>
                </c:pt>
                <c:pt idx="2">
                  <c:v>19.899999999999999</c:v>
                </c:pt>
                <c:pt idx="3">
                  <c:v>20.8</c:v>
                </c:pt>
                <c:pt idx="4">
                  <c:v>14.1</c:v>
                </c:pt>
                <c:pt idx="5">
                  <c:v>19.5</c:v>
                </c:pt>
                <c:pt idx="6">
                  <c:v>21.1</c:v>
                </c:pt>
                <c:pt idx="7">
                  <c:v>19.7</c:v>
                </c:pt>
                <c:pt idx="8">
                  <c:v>26.5</c:v>
                </c:pt>
                <c:pt idx="9">
                  <c:v>23.9</c:v>
                </c:pt>
                <c:pt idx="10">
                  <c:v>30.2</c:v>
                </c:pt>
                <c:pt idx="11">
                  <c:v>19</c:v>
                </c:pt>
                <c:pt idx="12">
                  <c:v>21.3</c:v>
                </c:pt>
                <c:pt idx="13">
                  <c:v>22.5</c:v>
                </c:pt>
                <c:pt idx="14">
                  <c:v>22.7</c:v>
                </c:pt>
                <c:pt idx="15">
                  <c:v>33</c:v>
                </c:pt>
                <c:pt idx="16" formatCode="0.0">
                  <c:v>36.408730158730158</c:v>
                </c:pt>
                <c:pt idx="17">
                  <c:v>36.799999999999997</c:v>
                </c:pt>
                <c:pt idx="18">
                  <c:v>38.200000000000003</c:v>
                </c:pt>
                <c:pt idx="19">
                  <c:v>38.5</c:v>
                </c:pt>
              </c:numCache>
            </c:numRef>
          </c:val>
          <c:smooth val="0"/>
          <c:extLst xmlns:c16r2="http://schemas.microsoft.com/office/drawing/2015/06/chart">
            <c:ext xmlns:c16="http://schemas.microsoft.com/office/drawing/2014/chart" uri="{C3380CC4-5D6E-409C-BE32-E72D297353CC}">
              <c16:uniqueId val="{00000038-FFDB-4B9C-981D-E3A69B783E7E}"/>
            </c:ext>
          </c:extLst>
        </c:ser>
        <c:dLbls>
          <c:showLegendKey val="0"/>
          <c:showVal val="0"/>
          <c:showCatName val="0"/>
          <c:showSerName val="0"/>
          <c:showPercent val="0"/>
          <c:showBubbleSize val="0"/>
        </c:dLbls>
        <c:marker val="1"/>
        <c:smooth val="0"/>
        <c:axId val="347699456"/>
        <c:axId val="347807744"/>
      </c:lineChart>
      <c:catAx>
        <c:axId val="347699456"/>
        <c:scaling>
          <c:orientation val="minMax"/>
        </c:scaling>
        <c:delete val="0"/>
        <c:axPos val="b"/>
        <c:numFmt formatCode="General" sourceLinked="0"/>
        <c:majorTickMark val="out"/>
        <c:minorTickMark val="none"/>
        <c:tickLblPos val="nextTo"/>
        <c:txPr>
          <a:bodyPr/>
          <a:lstStyle/>
          <a:p>
            <a:pPr>
              <a:defRPr sz="800">
                <a:latin typeface="Calibri" panose="020F0502020204030204" pitchFamily="34" charset="0"/>
              </a:defRPr>
            </a:pPr>
            <a:endParaRPr lang="el-GR"/>
          </a:p>
        </c:txPr>
        <c:crossAx val="347807744"/>
        <c:crosses val="autoZero"/>
        <c:auto val="1"/>
        <c:lblAlgn val="ctr"/>
        <c:lblOffset val="100"/>
        <c:noMultiLvlLbl val="0"/>
      </c:catAx>
      <c:valAx>
        <c:axId val="347807744"/>
        <c:scaling>
          <c:orientation val="minMax"/>
        </c:scaling>
        <c:delete val="0"/>
        <c:axPos val="l"/>
        <c:majorGridlines/>
        <c:numFmt formatCode="General" sourceLinked="1"/>
        <c:majorTickMark val="out"/>
        <c:minorTickMark val="none"/>
        <c:tickLblPos val="nextTo"/>
        <c:txPr>
          <a:bodyPr/>
          <a:lstStyle/>
          <a:p>
            <a:pPr>
              <a:defRPr sz="1200">
                <a:latin typeface="Calibri" panose="020F0502020204030204" pitchFamily="34" charset="0"/>
              </a:defRPr>
            </a:pPr>
            <a:endParaRPr lang="el-GR"/>
          </a:p>
        </c:txPr>
        <c:crossAx val="347699456"/>
        <c:crosses val="autoZero"/>
        <c:crossBetween val="between"/>
      </c:valAx>
    </c:plotArea>
    <c:legend>
      <c:legendPos val="r"/>
      <c:layout>
        <c:manualLayout>
          <c:xMode val="edge"/>
          <c:yMode val="edge"/>
          <c:x val="0.23390868092845651"/>
          <c:y val="5.8562717017334141E-3"/>
          <c:w val="0.62573505477948843"/>
          <c:h val="0.154032708887725"/>
        </c:manualLayout>
      </c:layout>
      <c:overlay val="0"/>
      <c:txPr>
        <a:bodyPr/>
        <a:lstStyle/>
        <a:p>
          <a:pPr>
            <a:defRPr sz="800">
              <a:latin typeface="Calibri" panose="020F0502020204030204" pitchFamily="34" charset="0"/>
            </a:defRPr>
          </a:pPr>
          <a:endParaRPr lang="el-GR"/>
        </a:p>
      </c:txPr>
    </c:legend>
    <c:plotVisOnly val="1"/>
    <c:dispBlanksAs val="gap"/>
    <c:showDLblsOverMax val="0"/>
  </c:chart>
  <c:txPr>
    <a:bodyPr/>
    <a:lstStyle/>
    <a:p>
      <a:pPr>
        <a:defRPr sz="1800"/>
      </a:pPr>
      <a:endParaRPr lang="el-GR"/>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7884608733201718"/>
          <c:y val="0.10526040035955612"/>
          <c:w val="0.77812960509629525"/>
          <c:h val="0.83061961970555465"/>
        </c:manualLayout>
      </c:layout>
      <c:barChart>
        <c:barDir val="bar"/>
        <c:grouping val="percentStacked"/>
        <c:varyColors val="0"/>
        <c:ser>
          <c:idx val="0"/>
          <c:order val="0"/>
          <c:tx>
            <c:strRef>
              <c:f>Φύλλο1!$B$1</c:f>
              <c:strCache>
                <c:ptCount val="1"/>
                <c:pt idx="0">
                  <c:v>Αύξηση</c:v>
                </c:pt>
              </c:strCache>
            </c:strRef>
          </c:tx>
          <c:spPr>
            <a:solidFill>
              <a:schemeClr val="accent3">
                <a:lumMod val="75000"/>
              </a:schemeClr>
            </a:solidFill>
          </c:spPr>
          <c:invertIfNegative val="0"/>
          <c:dLbls>
            <c:spPr>
              <a:noFill/>
              <a:ln>
                <a:noFill/>
              </a:ln>
              <a:effectLst/>
            </c:spPr>
            <c:txPr>
              <a:bodyPr/>
              <a:lstStyle/>
              <a:p>
                <a:pPr>
                  <a:defRPr sz="1200">
                    <a:solidFill>
                      <a:schemeClr val="bg1"/>
                    </a:solidFill>
                    <a:latin typeface="Calibri" panose="020F0502020204030204" pitchFamily="34" charset="0"/>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Φύλλο1!$A$2:$A$5</c:f>
              <c:strCache>
                <c:ptCount val="4"/>
                <c:pt idx="0">
                  <c:v>ΤΙΜΕΣ</c:v>
                </c:pt>
                <c:pt idx="1">
                  <c:v>ΠΑΡΑΓΓΕΛΙΕΣ</c:v>
                </c:pt>
                <c:pt idx="2">
                  <c:v>ΚΥΚΛΟΣ ΕΡΓΑΣΙΩΝ</c:v>
                </c:pt>
                <c:pt idx="3">
                  <c:v>ΖΗΤΗΣΗ</c:v>
                </c:pt>
              </c:strCache>
            </c:strRef>
          </c:cat>
          <c:val>
            <c:numRef>
              <c:f>Φύλλο1!$B$2:$B$5</c:f>
              <c:numCache>
                <c:formatCode>0.0</c:formatCode>
                <c:ptCount val="4"/>
                <c:pt idx="0">
                  <c:v>4.838709677419355</c:v>
                </c:pt>
                <c:pt idx="1">
                  <c:v>27.047146401985113</c:v>
                </c:pt>
                <c:pt idx="2">
                  <c:v>30.76923076923077</c:v>
                </c:pt>
                <c:pt idx="3">
                  <c:v>30.76923076923077</c:v>
                </c:pt>
              </c:numCache>
            </c:numRef>
          </c:val>
          <c:extLst xmlns:c16r2="http://schemas.microsoft.com/office/drawing/2015/06/chart">
            <c:ext xmlns:c16="http://schemas.microsoft.com/office/drawing/2014/chart" uri="{C3380CC4-5D6E-409C-BE32-E72D297353CC}">
              <c16:uniqueId val="{00000000-1501-4B78-93B6-CEA19CD6E0A8}"/>
            </c:ext>
          </c:extLst>
        </c:ser>
        <c:ser>
          <c:idx val="1"/>
          <c:order val="1"/>
          <c:tx>
            <c:strRef>
              <c:f>Φύλλο1!$C$1</c:f>
              <c:strCache>
                <c:ptCount val="1"/>
                <c:pt idx="0">
                  <c:v>Μείωση</c:v>
                </c:pt>
              </c:strCache>
            </c:strRef>
          </c:tx>
          <c:invertIfNegative val="0"/>
          <c:dLbls>
            <c:spPr>
              <a:noFill/>
              <a:ln>
                <a:noFill/>
              </a:ln>
              <a:effectLst/>
            </c:spPr>
            <c:txPr>
              <a:bodyPr/>
              <a:lstStyle/>
              <a:p>
                <a:pPr algn="ctr">
                  <a:defRPr lang="el-GR" sz="1200" b="0" i="0" u="none" strike="noStrike" kern="1200" baseline="0">
                    <a:solidFill>
                      <a:prstClr val="white"/>
                    </a:solidFill>
                    <a:latin typeface="Calibri" panose="020F0502020204030204" pitchFamily="34" charset="0"/>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Φύλλο1!$A$2:$A$5</c:f>
              <c:strCache>
                <c:ptCount val="4"/>
                <c:pt idx="0">
                  <c:v>ΤΙΜΕΣ</c:v>
                </c:pt>
                <c:pt idx="1">
                  <c:v>ΠΑΡΑΓΓΕΛΙΕΣ</c:v>
                </c:pt>
                <c:pt idx="2">
                  <c:v>ΚΥΚΛΟΣ ΕΡΓΑΣΙΩΝ</c:v>
                </c:pt>
                <c:pt idx="3">
                  <c:v>ΖΗΤΗΣΗ</c:v>
                </c:pt>
              </c:strCache>
            </c:strRef>
          </c:cat>
          <c:val>
            <c:numRef>
              <c:f>Φύλλο1!$C$2:$C$5</c:f>
              <c:numCache>
                <c:formatCode>0.0</c:formatCode>
                <c:ptCount val="4"/>
                <c:pt idx="0">
                  <c:v>8.1885856079404462</c:v>
                </c:pt>
                <c:pt idx="1">
                  <c:v>17.617866004962778</c:v>
                </c:pt>
                <c:pt idx="2">
                  <c:v>17.369727047146402</c:v>
                </c:pt>
                <c:pt idx="3">
                  <c:v>17.741935483870968</c:v>
                </c:pt>
              </c:numCache>
            </c:numRef>
          </c:val>
          <c:extLst xmlns:c16r2="http://schemas.microsoft.com/office/drawing/2015/06/chart">
            <c:ext xmlns:c16="http://schemas.microsoft.com/office/drawing/2014/chart" uri="{C3380CC4-5D6E-409C-BE32-E72D297353CC}">
              <c16:uniqueId val="{00000001-1501-4B78-93B6-CEA19CD6E0A8}"/>
            </c:ext>
          </c:extLst>
        </c:ser>
        <c:ser>
          <c:idx val="2"/>
          <c:order val="2"/>
          <c:tx>
            <c:strRef>
              <c:f>Φύλλο1!$D$1</c:f>
              <c:strCache>
                <c:ptCount val="1"/>
                <c:pt idx="0">
                  <c:v>Χωρίς μεταβολή</c:v>
                </c:pt>
              </c:strCache>
            </c:strRef>
          </c:tx>
          <c:spPr>
            <a:solidFill>
              <a:schemeClr val="accent1">
                <a:lumMod val="75000"/>
              </a:schemeClr>
            </a:solidFill>
          </c:spPr>
          <c:invertIfNegative val="0"/>
          <c:dLbls>
            <c:spPr>
              <a:noFill/>
              <a:ln>
                <a:noFill/>
              </a:ln>
              <a:effectLst/>
            </c:spPr>
            <c:txPr>
              <a:bodyPr/>
              <a:lstStyle/>
              <a:p>
                <a:pPr algn="ctr">
                  <a:defRPr lang="el-GR" sz="1200" b="0" i="0" u="none" strike="noStrike" kern="1200" baseline="0">
                    <a:solidFill>
                      <a:prstClr val="white"/>
                    </a:solidFill>
                    <a:latin typeface="Calibri" panose="020F0502020204030204" pitchFamily="34" charset="0"/>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Φύλλο1!$A$2:$A$5</c:f>
              <c:strCache>
                <c:ptCount val="4"/>
                <c:pt idx="0">
                  <c:v>ΤΙΜΕΣ</c:v>
                </c:pt>
                <c:pt idx="1">
                  <c:v>ΠΑΡΑΓΓΕΛΙΕΣ</c:v>
                </c:pt>
                <c:pt idx="2">
                  <c:v>ΚΥΚΛΟΣ ΕΡΓΑΣΙΩΝ</c:v>
                </c:pt>
                <c:pt idx="3">
                  <c:v>ΖΗΤΗΣΗ</c:v>
                </c:pt>
              </c:strCache>
            </c:strRef>
          </c:cat>
          <c:val>
            <c:numRef>
              <c:f>Φύλλο1!$D$2:$D$5</c:f>
              <c:numCache>
                <c:formatCode>0.0</c:formatCode>
                <c:ptCount val="4"/>
                <c:pt idx="0">
                  <c:v>79.776674937965254</c:v>
                </c:pt>
                <c:pt idx="1">
                  <c:v>43.796526054590572</c:v>
                </c:pt>
                <c:pt idx="2">
                  <c:v>41.563275434243174</c:v>
                </c:pt>
                <c:pt idx="3">
                  <c:v>40.694789081885858</c:v>
                </c:pt>
              </c:numCache>
            </c:numRef>
          </c:val>
          <c:extLst xmlns:c16r2="http://schemas.microsoft.com/office/drawing/2015/06/chart">
            <c:ext xmlns:c16="http://schemas.microsoft.com/office/drawing/2014/chart" uri="{C3380CC4-5D6E-409C-BE32-E72D297353CC}">
              <c16:uniqueId val="{00000002-1501-4B78-93B6-CEA19CD6E0A8}"/>
            </c:ext>
          </c:extLst>
        </c:ser>
        <c:ser>
          <c:idx val="3"/>
          <c:order val="3"/>
          <c:tx>
            <c:strRef>
              <c:f>Φύλλο1!$E$1</c:f>
              <c:strCache>
                <c:ptCount val="1"/>
                <c:pt idx="0">
                  <c:v>ΔΑ</c:v>
                </c:pt>
              </c:strCache>
            </c:strRef>
          </c:tx>
          <c:spPr>
            <a:solidFill>
              <a:schemeClr val="tx1">
                <a:lumMod val="50000"/>
                <a:lumOff val="50000"/>
              </a:schemeClr>
            </a:solidFill>
          </c:spPr>
          <c:invertIfNegative val="0"/>
          <c:dLbls>
            <c:spPr>
              <a:noFill/>
              <a:ln>
                <a:noFill/>
              </a:ln>
              <a:effectLst/>
            </c:spPr>
            <c:txPr>
              <a:bodyPr/>
              <a:lstStyle/>
              <a:p>
                <a:pPr algn="ctr">
                  <a:defRPr lang="el-GR" sz="1200" b="0" i="0" u="none" strike="noStrike" kern="1200" baseline="0">
                    <a:solidFill>
                      <a:prstClr val="white"/>
                    </a:solidFill>
                    <a:latin typeface="Calibri" panose="020F0502020204030204" pitchFamily="34" charset="0"/>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Φύλλο1!$A$2:$A$5</c:f>
              <c:strCache>
                <c:ptCount val="4"/>
                <c:pt idx="0">
                  <c:v>ΤΙΜΕΣ</c:v>
                </c:pt>
                <c:pt idx="1">
                  <c:v>ΠΑΡΑΓΓΕΛΙΕΣ</c:v>
                </c:pt>
                <c:pt idx="2">
                  <c:v>ΚΥΚΛΟΣ ΕΡΓΑΣΙΩΝ</c:v>
                </c:pt>
                <c:pt idx="3">
                  <c:v>ΖΗΤΗΣΗ</c:v>
                </c:pt>
              </c:strCache>
            </c:strRef>
          </c:cat>
          <c:val>
            <c:numRef>
              <c:f>Φύλλο1!$E$2:$E$5</c:f>
              <c:numCache>
                <c:formatCode>0.0</c:formatCode>
                <c:ptCount val="4"/>
                <c:pt idx="0">
                  <c:v>7.1960297766749379</c:v>
                </c:pt>
                <c:pt idx="1">
                  <c:v>11.6</c:v>
                </c:pt>
                <c:pt idx="2">
                  <c:v>10.199999999999999</c:v>
                </c:pt>
                <c:pt idx="3">
                  <c:v>10.794044665012407</c:v>
                </c:pt>
              </c:numCache>
            </c:numRef>
          </c:val>
          <c:extLst xmlns:c16r2="http://schemas.microsoft.com/office/drawing/2015/06/chart">
            <c:ext xmlns:c16="http://schemas.microsoft.com/office/drawing/2014/chart" uri="{C3380CC4-5D6E-409C-BE32-E72D297353CC}">
              <c16:uniqueId val="{00000003-1501-4B78-93B6-CEA19CD6E0A8}"/>
            </c:ext>
          </c:extLst>
        </c:ser>
        <c:dLbls>
          <c:showLegendKey val="0"/>
          <c:showVal val="0"/>
          <c:showCatName val="0"/>
          <c:showSerName val="0"/>
          <c:showPercent val="0"/>
          <c:showBubbleSize val="0"/>
        </c:dLbls>
        <c:gapWidth val="50"/>
        <c:overlap val="100"/>
        <c:axId val="347956352"/>
        <c:axId val="347957888"/>
      </c:barChart>
      <c:catAx>
        <c:axId val="347956352"/>
        <c:scaling>
          <c:orientation val="minMax"/>
        </c:scaling>
        <c:delete val="0"/>
        <c:axPos val="l"/>
        <c:numFmt formatCode="General" sourceLinked="0"/>
        <c:majorTickMark val="out"/>
        <c:minorTickMark val="none"/>
        <c:tickLblPos val="nextTo"/>
        <c:txPr>
          <a:bodyPr/>
          <a:lstStyle/>
          <a:p>
            <a:pPr>
              <a:defRPr sz="1200">
                <a:latin typeface="Calibri" panose="020F0502020204030204" pitchFamily="34" charset="0"/>
              </a:defRPr>
            </a:pPr>
            <a:endParaRPr lang="el-GR"/>
          </a:p>
        </c:txPr>
        <c:crossAx val="347957888"/>
        <c:crosses val="autoZero"/>
        <c:auto val="1"/>
        <c:lblAlgn val="ctr"/>
        <c:lblOffset val="100"/>
        <c:noMultiLvlLbl val="0"/>
      </c:catAx>
      <c:valAx>
        <c:axId val="347957888"/>
        <c:scaling>
          <c:orientation val="minMax"/>
        </c:scaling>
        <c:delete val="0"/>
        <c:axPos val="b"/>
        <c:majorGridlines/>
        <c:numFmt formatCode="0%" sourceLinked="1"/>
        <c:majorTickMark val="out"/>
        <c:minorTickMark val="none"/>
        <c:tickLblPos val="nextTo"/>
        <c:txPr>
          <a:bodyPr/>
          <a:lstStyle/>
          <a:p>
            <a:pPr>
              <a:defRPr sz="1200">
                <a:latin typeface="Calibri" panose="020F0502020204030204" pitchFamily="34" charset="0"/>
              </a:defRPr>
            </a:pPr>
            <a:endParaRPr lang="el-GR"/>
          </a:p>
        </c:txPr>
        <c:crossAx val="347956352"/>
        <c:crosses val="autoZero"/>
        <c:crossBetween val="between"/>
      </c:valAx>
    </c:plotArea>
    <c:legend>
      <c:legendPos val="r"/>
      <c:layout>
        <c:manualLayout>
          <c:xMode val="edge"/>
          <c:yMode val="edge"/>
          <c:x val="0.21509572835722818"/>
          <c:y val="4.4615202687916827E-2"/>
          <c:w val="0.66327029276441285"/>
          <c:h val="4.2934418698222704E-2"/>
        </c:manualLayout>
      </c:layout>
      <c:overlay val="0"/>
      <c:txPr>
        <a:bodyPr/>
        <a:lstStyle/>
        <a:p>
          <a:pPr>
            <a:defRPr sz="1200">
              <a:latin typeface="Calibri" panose="020F0502020204030204" pitchFamily="34" charset="0"/>
            </a:defRPr>
          </a:pPr>
          <a:endParaRPr lang="el-GR"/>
        </a:p>
      </c:txPr>
    </c:legend>
    <c:plotVisOnly val="1"/>
    <c:dispBlanksAs val="gap"/>
    <c:showDLblsOverMax val="0"/>
  </c:chart>
  <c:txPr>
    <a:bodyPr/>
    <a:lstStyle/>
    <a:p>
      <a:pPr>
        <a:defRPr sz="1800"/>
      </a:pPr>
      <a:endParaRPr lang="el-GR"/>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3.9953838316100949E-2"/>
          <c:y val="9.4591703352405271E-2"/>
          <c:w val="0.94070293932482463"/>
          <c:h val="0.74713508394900563"/>
        </c:manualLayout>
      </c:layout>
      <c:lineChart>
        <c:grouping val="standard"/>
        <c:varyColors val="0"/>
        <c:ser>
          <c:idx val="0"/>
          <c:order val="0"/>
          <c:tx>
            <c:strRef>
              <c:f>Φύλλο1!$B$1</c:f>
              <c:strCache>
                <c:ptCount val="1"/>
                <c:pt idx="0">
                  <c:v>Αύξηση</c:v>
                </c:pt>
              </c:strCache>
            </c:strRef>
          </c:tx>
          <c:spPr>
            <a:ln>
              <a:solidFill>
                <a:schemeClr val="accent3">
                  <a:lumMod val="75000"/>
                </a:schemeClr>
              </a:solidFill>
            </a:ln>
          </c:spPr>
          <c:marker>
            <c:spPr>
              <a:solidFill>
                <a:schemeClr val="accent3">
                  <a:lumMod val="75000"/>
                </a:schemeClr>
              </a:solidFill>
              <a:ln>
                <a:solidFill>
                  <a:schemeClr val="accent3">
                    <a:lumMod val="75000"/>
                  </a:schemeClr>
                </a:solidFill>
              </a:ln>
            </c:spPr>
          </c:marker>
          <c:dLbls>
            <c:dLbl>
              <c:idx val="0"/>
              <c:layout>
                <c:manualLayout>
                  <c:x val="-3.650343316973495E-2"/>
                  <c:y val="-3.910568096600378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E742-430C-81B2-E85E3B84498F}"/>
                </c:ext>
              </c:extLst>
            </c:dLbl>
            <c:dLbl>
              <c:idx val="1"/>
              <c:layout>
                <c:manualLayout>
                  <c:x val="-3.4293983675016612E-2"/>
                  <c:y val="-3.617501701199889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742-430C-81B2-E85E3B84498F}"/>
                </c:ext>
              </c:extLst>
            </c:dLbl>
            <c:dLbl>
              <c:idx val="2"/>
              <c:layout>
                <c:manualLayout>
                  <c:x val="-3.2660980055714002E-2"/>
                  <c:y val="-3.079463833824459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E742-430C-81B2-E85E3B84498F}"/>
                </c:ext>
              </c:extLst>
            </c:dLbl>
            <c:dLbl>
              <c:idx val="3"/>
              <c:layout>
                <c:manualLayout>
                  <c:x val="-3.8424652162831578E-2"/>
                  <c:y val="-4.448594253416286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E742-430C-81B2-E85E3B84498F}"/>
                </c:ext>
              </c:extLst>
            </c:dLbl>
            <c:dLbl>
              <c:idx val="4"/>
              <c:layout>
                <c:manualLayout>
                  <c:x val="-3.1027931052928281E-2"/>
                  <c:y val="-3.639366349065272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E742-430C-81B2-E85E3B84498F}"/>
                </c:ext>
              </c:extLst>
            </c:dLbl>
            <c:dLbl>
              <c:idx val="5"/>
              <c:layout>
                <c:manualLayout>
                  <c:x val="-2.8818557197348368E-2"/>
                  <c:y val="-3.079453845406068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E742-430C-81B2-E85E3B84498F}"/>
                </c:ext>
              </c:extLst>
            </c:dLbl>
            <c:dLbl>
              <c:idx val="6"/>
              <c:layout>
                <c:manualLayout>
                  <c:x val="-3.6215202668113594E-2"/>
                  <c:y val="-3.11445429674480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E742-430C-81B2-E85E3B84498F}"/>
                </c:ext>
              </c:extLst>
            </c:dLbl>
            <c:dLbl>
              <c:idx val="7"/>
              <c:layout>
                <c:manualLayout>
                  <c:x val="-3.4582214176638391E-2"/>
                  <c:y val="-3.30692423064104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E742-430C-81B2-E85E3B84498F}"/>
                </c:ext>
              </c:extLst>
            </c:dLbl>
            <c:dLbl>
              <c:idx val="8"/>
              <c:layout>
                <c:manualLayout>
                  <c:x val="-2.4207549923646831E-2"/>
                  <c:y val="-3.582501249861157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E742-430C-81B2-E85E3B84498F}"/>
                </c:ext>
              </c:extLst>
            </c:dLbl>
            <c:dLbl>
              <c:idx val="9"/>
              <c:layout>
                <c:manualLayout>
                  <c:x val="-3.2853103467806795E-2"/>
                  <c:y val="-3.30692423064104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E742-430C-81B2-E85E3B84498F}"/>
                </c:ext>
              </c:extLst>
            </c:dLbl>
            <c:dLbl>
              <c:idx val="10"/>
              <c:layout>
                <c:manualLayout>
                  <c:x val="-3.8275750714218251E-2"/>
                  <c:y val="-2.755770192200876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E742-430C-81B2-E85E3B84498F}"/>
                </c:ext>
              </c:extLst>
            </c:dLbl>
            <c:dLbl>
              <c:idx val="11"/>
              <c:layout>
                <c:manualLayout>
                  <c:x val="-3.1123992758974789E-2"/>
                  <c:y val="-3.858078269081213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E742-430C-81B2-E85E3B84498F}"/>
                </c:ext>
              </c:extLst>
            </c:dLbl>
            <c:dLbl>
              <c:idx val="12"/>
              <c:layout>
                <c:manualLayout>
                  <c:x val="-2.4207686074096346E-2"/>
                  <c:y val="-3.30692423064104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E742-430C-81B2-E85E3B84498F}"/>
                </c:ext>
              </c:extLst>
            </c:dLbl>
            <c:dLbl>
              <c:idx val="13"/>
              <c:layout>
                <c:manualLayout>
                  <c:x val="-2.7665771341310659E-2"/>
                  <c:y val="-3.031347211420961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E742-430C-81B2-E85E3B84498F}"/>
                </c:ext>
              </c:extLst>
            </c:dLbl>
            <c:dLbl>
              <c:idx val="14"/>
              <c:layout>
                <c:manualLayout>
                  <c:x val="-3.2853103467806621E-2"/>
                  <c:y val="-2.480193172980785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E742-430C-81B2-E85E3B84498F}"/>
                </c:ext>
              </c:extLst>
            </c:dLbl>
            <c:dLbl>
              <c:idx val="15"/>
              <c:layout>
                <c:manualLayout>
                  <c:x val="-1.902021779715098E-2"/>
                  <c:y val="-3.858078269081213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E742-430C-81B2-E85E3B84498F}"/>
                </c:ext>
              </c:extLst>
            </c:dLbl>
            <c:dLbl>
              <c:idx val="16"/>
              <c:layout>
                <c:manualLayout>
                  <c:x val="-3.2853085175158718E-2"/>
                  <c:y val="-3.306924230641039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E742-430C-81B2-E85E3B84498F}"/>
                </c:ext>
              </c:extLst>
            </c:dLbl>
            <c:dLbl>
              <c:idx val="17"/>
              <c:layout>
                <c:manualLayout>
                  <c:x val="-3.3840904606588382E-2"/>
                  <c:y val="-3.031347211420963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3A94-4626-8EE7-0D407715EF9B}"/>
                </c:ext>
              </c:extLst>
            </c:dLbl>
            <c:dLbl>
              <c:idx val="18"/>
              <c:layout>
                <c:manualLayout>
                  <c:x val="-3.3840904606588382E-2"/>
                  <c:y val="-3.582501249861126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3A94-4626-8EE7-0D407715EF9B}"/>
                </c:ext>
              </c:extLst>
            </c:dLbl>
            <c:spPr>
              <a:noFill/>
              <a:ln>
                <a:noFill/>
              </a:ln>
              <a:effectLst/>
            </c:spPr>
            <c:txPr>
              <a:bodyPr/>
              <a:lstStyle/>
              <a:p>
                <a:pPr>
                  <a:defRPr sz="800">
                    <a:latin typeface="Calibri" panose="020F0502020204030204" pitchFamily="34" charset="0"/>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Φύλλο1!$A$2:$A$21</c:f>
              <c:strCache>
                <c:ptCount val="20"/>
                <c:pt idx="0">
                  <c:v>ΦΕΒΡ. 2010</c:v>
                </c:pt>
                <c:pt idx="1">
                  <c:v>ΙΟΥΛ. 2010</c:v>
                </c:pt>
                <c:pt idx="2">
                  <c:v>ΙΑΝ. 2011</c:v>
                </c:pt>
                <c:pt idx="3">
                  <c:v>ΙΟΥΛ. 2011</c:v>
                </c:pt>
                <c:pt idx="4">
                  <c:v>ΙΑΝ. 2012</c:v>
                </c:pt>
                <c:pt idx="5">
                  <c:v>ΙΟΥΛ. 2012</c:v>
                </c:pt>
                <c:pt idx="6">
                  <c:v>ΙΑΝ. 2013</c:v>
                </c:pt>
                <c:pt idx="7">
                  <c:v>ΙΟΥΛ. 2013</c:v>
                </c:pt>
                <c:pt idx="8">
                  <c:v>ΦΕΒΡ. 2014</c:v>
                </c:pt>
                <c:pt idx="9">
                  <c:v>ΙΟΥΛ. 2014</c:v>
                </c:pt>
                <c:pt idx="10">
                  <c:v>ΦΕΒΡ. 2015</c:v>
                </c:pt>
                <c:pt idx="11">
                  <c:v>ΙΟΥΛ. 2015</c:v>
                </c:pt>
                <c:pt idx="12">
                  <c:v>ΦΕΒΡ. 2016</c:v>
                </c:pt>
                <c:pt idx="13">
                  <c:v>ΙΟΥΛ. 2016</c:v>
                </c:pt>
                <c:pt idx="14">
                  <c:v>ΦΕΒΡ. 2017</c:v>
                </c:pt>
                <c:pt idx="15">
                  <c:v>ΙΟΥΛ. 2017</c:v>
                </c:pt>
                <c:pt idx="16">
                  <c:v>ΦΕΒΡ. 2018</c:v>
                </c:pt>
                <c:pt idx="17">
                  <c:v>ΙΟΥΛ. 2018</c:v>
                </c:pt>
                <c:pt idx="18">
                  <c:v>ΦΕΒΡ. 2019</c:v>
                </c:pt>
                <c:pt idx="19">
                  <c:v>ΙΟΥΛ. 2019</c:v>
                </c:pt>
              </c:strCache>
            </c:strRef>
          </c:cat>
          <c:val>
            <c:numRef>
              <c:f>Φύλλο1!$B$2:$B$21</c:f>
              <c:numCache>
                <c:formatCode>General</c:formatCode>
                <c:ptCount val="20"/>
                <c:pt idx="0">
                  <c:v>11.5</c:v>
                </c:pt>
                <c:pt idx="1">
                  <c:v>8.5</c:v>
                </c:pt>
                <c:pt idx="2">
                  <c:v>5.6</c:v>
                </c:pt>
                <c:pt idx="3">
                  <c:v>6.2</c:v>
                </c:pt>
                <c:pt idx="4">
                  <c:v>3.9</c:v>
                </c:pt>
                <c:pt idx="5">
                  <c:v>9.3000000000000007</c:v>
                </c:pt>
                <c:pt idx="6">
                  <c:v>8.9</c:v>
                </c:pt>
                <c:pt idx="7">
                  <c:v>6.7</c:v>
                </c:pt>
                <c:pt idx="8">
                  <c:v>13.9</c:v>
                </c:pt>
                <c:pt idx="9">
                  <c:v>14.3</c:v>
                </c:pt>
                <c:pt idx="10">
                  <c:v>19.899999999999999</c:v>
                </c:pt>
                <c:pt idx="11">
                  <c:v>5.8</c:v>
                </c:pt>
                <c:pt idx="12">
                  <c:v>7.5</c:v>
                </c:pt>
                <c:pt idx="13">
                  <c:v>8.9</c:v>
                </c:pt>
                <c:pt idx="14">
                  <c:v>8.1999999999999993</c:v>
                </c:pt>
                <c:pt idx="15">
                  <c:v>9.9</c:v>
                </c:pt>
                <c:pt idx="16" formatCode="0.0">
                  <c:v>15.674603174603174</c:v>
                </c:pt>
                <c:pt idx="17">
                  <c:v>17.600000000000001</c:v>
                </c:pt>
                <c:pt idx="18">
                  <c:v>18.7</c:v>
                </c:pt>
                <c:pt idx="19" formatCode="0.0">
                  <c:v>28.411910669975185</c:v>
                </c:pt>
              </c:numCache>
            </c:numRef>
          </c:val>
          <c:smooth val="0"/>
          <c:extLst xmlns:c16r2="http://schemas.microsoft.com/office/drawing/2015/06/chart">
            <c:ext xmlns:c16="http://schemas.microsoft.com/office/drawing/2014/chart" uri="{C3380CC4-5D6E-409C-BE32-E72D297353CC}">
              <c16:uniqueId val="{00000011-E742-430C-81B2-E85E3B84498F}"/>
            </c:ext>
          </c:extLst>
        </c:ser>
        <c:ser>
          <c:idx val="1"/>
          <c:order val="1"/>
          <c:tx>
            <c:strRef>
              <c:f>Φύλλο1!$C$1</c:f>
              <c:strCache>
                <c:ptCount val="1"/>
                <c:pt idx="0">
                  <c:v>Μείωση </c:v>
                </c:pt>
              </c:strCache>
            </c:strRef>
          </c:tx>
          <c:spPr>
            <a:ln>
              <a:solidFill>
                <a:schemeClr val="accent2">
                  <a:lumMod val="75000"/>
                </a:schemeClr>
              </a:solidFill>
            </a:ln>
          </c:spPr>
          <c:marker>
            <c:spPr>
              <a:solidFill>
                <a:schemeClr val="accent2">
                  <a:lumMod val="75000"/>
                </a:schemeClr>
              </a:solidFill>
              <a:ln>
                <a:solidFill>
                  <a:schemeClr val="accent2">
                    <a:lumMod val="75000"/>
                  </a:schemeClr>
                </a:solidFill>
              </a:ln>
            </c:spPr>
          </c:marker>
          <c:dLbls>
            <c:dLbl>
              <c:idx val="0"/>
              <c:layout>
                <c:manualLayout>
                  <c:x val="-3.9961654587398775E-2"/>
                  <c:y val="-3.928057472780802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E742-430C-81B2-E85E3B84498F}"/>
                </c:ext>
              </c:extLst>
            </c:dLbl>
            <c:dLbl>
              <c:idx val="1"/>
              <c:layout>
                <c:manualLayout>
                  <c:x val="-3.9481315801512581E-2"/>
                  <c:y val="-3.372541939784468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E742-430C-81B2-E85E3B84498F}"/>
                </c:ext>
              </c:extLst>
            </c:dLbl>
            <c:dLbl>
              <c:idx val="2"/>
              <c:layout>
                <c:manualLayout>
                  <c:x val="-3.9577438018869412E-2"/>
                  <c:y val="-3.376903434340623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E742-430C-81B2-E85E3B84498F}"/>
                </c:ext>
              </c:extLst>
            </c:dLbl>
            <c:dLbl>
              <c:idx val="3"/>
              <c:layout>
                <c:manualLayout>
                  <c:x val="-3.9097099232982824E-2"/>
                  <c:y val="-3.096964920564381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E742-430C-81B2-E85E3B84498F}"/>
                </c:ext>
              </c:extLst>
            </c:dLbl>
            <c:dLbl>
              <c:idx val="4"/>
              <c:layout>
                <c:manualLayout>
                  <c:x val="-3.1027931052928281E-2"/>
                  <c:y val="-2.799512576204064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6-E742-430C-81B2-E85E3B84498F}"/>
                </c:ext>
              </c:extLst>
            </c:dLbl>
            <c:dLbl>
              <c:idx val="5"/>
              <c:layout>
                <c:manualLayout>
                  <c:x val="-3.1123992758974855E-2"/>
                  <c:y val="-3.376925133318516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7-E742-430C-81B2-E85E3B84498F}"/>
                </c:ext>
              </c:extLst>
            </c:dLbl>
            <c:dLbl>
              <c:idx val="6"/>
              <c:layout>
                <c:manualLayout>
                  <c:x val="-3.4582214176638329E-2"/>
                  <c:y val="-3.582501249861157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8-E742-430C-81B2-E85E3B84498F}"/>
                </c:ext>
              </c:extLst>
            </c:dLbl>
            <c:dLbl>
              <c:idx val="7"/>
              <c:layout>
                <c:manualLayout>
                  <c:x val="-3.4582214176638391E-2"/>
                  <c:y val="-3.031347211420961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9-E742-430C-81B2-E85E3B84498F}"/>
                </c:ext>
              </c:extLst>
            </c:dLbl>
            <c:dLbl>
              <c:idx val="8"/>
              <c:layout>
                <c:manualLayout>
                  <c:x val="-2.1572783639629261E-2"/>
                  <c:y val="-3.582501249861126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A-E742-430C-81B2-E85E3B84498F}"/>
                </c:ext>
              </c:extLst>
            </c:dLbl>
            <c:dLbl>
              <c:idx val="9"/>
              <c:layout>
                <c:manualLayout>
                  <c:x val="-2.6407198583427719E-2"/>
                  <c:y val="-3.582501249861126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B-E742-430C-81B2-E85E3B84498F}"/>
                </c:ext>
              </c:extLst>
            </c:dLbl>
            <c:dLbl>
              <c:idx val="10"/>
              <c:layout>
                <c:manualLayout>
                  <c:x val="-1.2103774961823415E-2"/>
                  <c:y val="-1.377885096100433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C-E742-430C-81B2-E85E3B84498F}"/>
                </c:ext>
              </c:extLst>
            </c:dLbl>
            <c:dLbl>
              <c:idx val="11"/>
              <c:layout>
                <c:manualLayout>
                  <c:x val="-2.2478439214815002E-2"/>
                  <c:y val="-3.031347211420961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D-E742-430C-81B2-E85E3B84498F}"/>
                </c:ext>
              </c:extLst>
            </c:dLbl>
            <c:dLbl>
              <c:idx val="12"/>
              <c:layout>
                <c:manualLayout>
                  <c:x val="-3.9769546303134201E-2"/>
                  <c:y val="-2.480193172980785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E-E742-430C-81B2-E85E3B84498F}"/>
                </c:ext>
              </c:extLst>
            </c:dLbl>
            <c:dLbl>
              <c:idx val="13"/>
              <c:layout>
                <c:manualLayout>
                  <c:x val="-3.6311324885470252E-2"/>
                  <c:y val="-3.858078269081213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F-E742-430C-81B2-E85E3B84498F}"/>
                </c:ext>
              </c:extLst>
            </c:dLbl>
            <c:dLbl>
              <c:idx val="14"/>
              <c:layout>
                <c:manualLayout>
                  <c:x val="-4.3227767720797866E-2"/>
                  <c:y val="-3.858078269081213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0-E742-430C-81B2-E85E3B84498F}"/>
                </c:ext>
              </c:extLst>
            </c:dLbl>
            <c:dLbl>
              <c:idx val="15"/>
              <c:layout>
                <c:manualLayout>
                  <c:x val="-1.3162551175327599E-2"/>
                  <c:y val="-2.204616153760703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1-E742-430C-81B2-E85E3B84498F}"/>
                </c:ext>
              </c:extLst>
            </c:dLbl>
            <c:dLbl>
              <c:idx val="16"/>
              <c:layout>
                <c:manualLayout>
                  <c:x val="-3.8675319550386722E-2"/>
                  <c:y val="3.031347211420943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2-E742-430C-81B2-E85E3B84498F}"/>
                </c:ext>
              </c:extLst>
            </c:dLbl>
            <c:dLbl>
              <c:idx val="17"/>
              <c:layout>
                <c:manualLayout>
                  <c:x val="-4.1898262846252282E-2"/>
                  <c:y val="8.2673105766025989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3A94-4626-8EE7-0D407715EF9B}"/>
                </c:ext>
              </c:extLst>
            </c:dLbl>
            <c:dLbl>
              <c:idx val="18"/>
              <c:layout>
                <c:manualLayout>
                  <c:x val="-3.2229432958655602E-2"/>
                  <c:y val="-3.031347211420963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A94-4626-8EE7-0D407715EF9B}"/>
                </c:ext>
              </c:extLst>
            </c:dLbl>
            <c:spPr>
              <a:noFill/>
              <a:ln>
                <a:noFill/>
              </a:ln>
              <a:effectLst/>
            </c:spPr>
            <c:txPr>
              <a:bodyPr/>
              <a:lstStyle/>
              <a:p>
                <a:pPr>
                  <a:defRPr sz="800">
                    <a:latin typeface="Calibri" panose="020F0502020204030204" pitchFamily="34" charset="0"/>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Φύλλο1!$A$2:$A$21</c:f>
              <c:strCache>
                <c:ptCount val="20"/>
                <c:pt idx="0">
                  <c:v>ΦΕΒΡ. 2010</c:v>
                </c:pt>
                <c:pt idx="1">
                  <c:v>ΙΟΥΛ. 2010</c:v>
                </c:pt>
                <c:pt idx="2">
                  <c:v>ΙΑΝ. 2011</c:v>
                </c:pt>
                <c:pt idx="3">
                  <c:v>ΙΟΥΛ. 2011</c:v>
                </c:pt>
                <c:pt idx="4">
                  <c:v>ΙΑΝ. 2012</c:v>
                </c:pt>
                <c:pt idx="5">
                  <c:v>ΙΟΥΛ. 2012</c:v>
                </c:pt>
                <c:pt idx="6">
                  <c:v>ΙΑΝ. 2013</c:v>
                </c:pt>
                <c:pt idx="7">
                  <c:v>ΙΟΥΛ. 2013</c:v>
                </c:pt>
                <c:pt idx="8">
                  <c:v>ΦΕΒΡ. 2014</c:v>
                </c:pt>
                <c:pt idx="9">
                  <c:v>ΙΟΥΛ. 2014</c:v>
                </c:pt>
                <c:pt idx="10">
                  <c:v>ΦΕΒΡ. 2015</c:v>
                </c:pt>
                <c:pt idx="11">
                  <c:v>ΙΟΥΛ. 2015</c:v>
                </c:pt>
                <c:pt idx="12">
                  <c:v>ΦΕΒΡ. 2016</c:v>
                </c:pt>
                <c:pt idx="13">
                  <c:v>ΙΟΥΛ. 2016</c:v>
                </c:pt>
                <c:pt idx="14">
                  <c:v>ΦΕΒΡ. 2017</c:v>
                </c:pt>
                <c:pt idx="15">
                  <c:v>ΙΟΥΛ. 2017</c:v>
                </c:pt>
                <c:pt idx="16">
                  <c:v>ΦΕΒΡ. 2018</c:v>
                </c:pt>
                <c:pt idx="17">
                  <c:v>ΙΟΥΛ. 2018</c:v>
                </c:pt>
                <c:pt idx="18">
                  <c:v>ΦΕΒΡ. 2019</c:v>
                </c:pt>
                <c:pt idx="19">
                  <c:v>ΙΟΥΛ. 2019</c:v>
                </c:pt>
              </c:strCache>
            </c:strRef>
          </c:cat>
          <c:val>
            <c:numRef>
              <c:f>Φύλλο1!$C$2:$C$21</c:f>
              <c:numCache>
                <c:formatCode>General</c:formatCode>
                <c:ptCount val="20"/>
                <c:pt idx="0">
                  <c:v>55.5</c:v>
                </c:pt>
                <c:pt idx="1">
                  <c:v>66.900000000000006</c:v>
                </c:pt>
                <c:pt idx="2">
                  <c:v>74.3</c:v>
                </c:pt>
                <c:pt idx="3">
                  <c:v>64.7</c:v>
                </c:pt>
                <c:pt idx="4">
                  <c:v>79.900000000000006</c:v>
                </c:pt>
                <c:pt idx="5">
                  <c:v>64.7</c:v>
                </c:pt>
                <c:pt idx="6">
                  <c:v>66.5</c:v>
                </c:pt>
                <c:pt idx="7">
                  <c:v>69.8</c:v>
                </c:pt>
                <c:pt idx="8">
                  <c:v>56.2</c:v>
                </c:pt>
                <c:pt idx="9">
                  <c:v>56.5</c:v>
                </c:pt>
                <c:pt idx="10">
                  <c:v>36.9</c:v>
                </c:pt>
                <c:pt idx="11">
                  <c:v>71</c:v>
                </c:pt>
                <c:pt idx="12">
                  <c:v>62.1</c:v>
                </c:pt>
                <c:pt idx="13">
                  <c:v>60.6</c:v>
                </c:pt>
                <c:pt idx="14">
                  <c:v>61.8</c:v>
                </c:pt>
                <c:pt idx="15">
                  <c:v>47.1</c:v>
                </c:pt>
                <c:pt idx="16" formatCode="0.0">
                  <c:v>40.178571428571431</c:v>
                </c:pt>
                <c:pt idx="17">
                  <c:v>35.6</c:v>
                </c:pt>
                <c:pt idx="18">
                  <c:v>33.5</c:v>
                </c:pt>
                <c:pt idx="19" formatCode="0.0">
                  <c:v>18.734491315136477</c:v>
                </c:pt>
              </c:numCache>
            </c:numRef>
          </c:val>
          <c:smooth val="0"/>
          <c:extLst xmlns:c16r2="http://schemas.microsoft.com/office/drawing/2015/06/chart">
            <c:ext xmlns:c16="http://schemas.microsoft.com/office/drawing/2014/chart" uri="{C3380CC4-5D6E-409C-BE32-E72D297353CC}">
              <c16:uniqueId val="{00000023-E742-430C-81B2-E85E3B84498F}"/>
            </c:ext>
          </c:extLst>
        </c:ser>
        <c:ser>
          <c:idx val="2"/>
          <c:order val="2"/>
          <c:tx>
            <c:strRef>
              <c:f>Φύλλο1!$D$1</c:f>
              <c:strCache>
                <c:ptCount val="1"/>
                <c:pt idx="0">
                  <c:v>Σταθεροποίηση</c:v>
                </c:pt>
              </c:strCache>
            </c:strRef>
          </c:tx>
          <c:spPr>
            <a:ln>
              <a:solidFill>
                <a:schemeClr val="accent1">
                  <a:lumMod val="75000"/>
                </a:schemeClr>
              </a:solidFill>
            </a:ln>
          </c:spPr>
          <c:marker>
            <c:spPr>
              <a:solidFill>
                <a:schemeClr val="accent1">
                  <a:lumMod val="75000"/>
                </a:schemeClr>
              </a:solidFill>
              <a:ln>
                <a:solidFill>
                  <a:schemeClr val="accent1">
                    <a:lumMod val="75000"/>
                  </a:schemeClr>
                </a:solidFill>
              </a:ln>
            </c:spPr>
          </c:marker>
          <c:dLbls>
            <c:dLbl>
              <c:idx val="0"/>
              <c:layout>
                <c:manualLayout>
                  <c:x val="-2.6128784044571168E-2"/>
                  <c:y val="-3.359415091444862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4-E742-430C-81B2-E85E3B84498F}"/>
                </c:ext>
              </c:extLst>
            </c:dLbl>
            <c:dLbl>
              <c:idx val="1"/>
              <c:layout>
                <c:manualLayout>
                  <c:x val="-3.4294029058499674E-2"/>
                  <c:y val="-3.079463833824459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5-E742-430C-81B2-E85E3B84498F}"/>
                </c:ext>
              </c:extLst>
            </c:dLbl>
            <c:dLbl>
              <c:idx val="2"/>
              <c:layout>
                <c:manualLayout>
                  <c:x val="-2.9683112551764819E-2"/>
                  <c:y val="-3.888695526885891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6-E742-430C-81B2-E85E3B84498F}"/>
                </c:ext>
              </c:extLst>
            </c:dLbl>
            <c:dLbl>
              <c:idx val="3"/>
              <c:layout>
                <c:manualLayout>
                  <c:x val="-2.8049987909840091E-2"/>
                  <c:y val="-3.346286176535940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7-E742-430C-81B2-E85E3B84498F}"/>
                </c:ext>
              </c:extLst>
            </c:dLbl>
            <c:dLbl>
              <c:idx val="4"/>
              <c:layout>
                <c:manualLayout>
                  <c:x val="-2.8722434979991163E-2"/>
                  <c:y val="-3.884355731307640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8-E742-430C-81B2-E85E3B84498F}"/>
                </c:ext>
              </c:extLst>
            </c:dLbl>
            <c:dLbl>
              <c:idx val="5"/>
              <c:layout>
                <c:manualLayout>
                  <c:x val="-2.7665771341310659E-2"/>
                  <c:y val="-2.532704699477835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9-E742-430C-81B2-E85E3B84498F}"/>
                </c:ext>
              </c:extLst>
            </c:dLbl>
            <c:dLbl>
              <c:idx val="6"/>
              <c:layout>
                <c:manualLayout>
                  <c:x val="-3.6215202668113594E-2"/>
                  <c:y val="-2.646429042606411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A-E742-430C-81B2-E85E3B84498F}"/>
                </c:ext>
              </c:extLst>
            </c:dLbl>
            <c:dLbl>
              <c:idx val="7"/>
              <c:layout>
                <c:manualLayout>
                  <c:x val="-3.4582214176638391E-2"/>
                  <c:y val="-3.031347211420961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B-E742-430C-81B2-E85E3B84498F}"/>
                </c:ext>
              </c:extLst>
            </c:dLbl>
            <c:dLbl>
              <c:idx val="8"/>
              <c:layout>
                <c:manualLayout>
                  <c:x val="-3.2853103467806795E-2"/>
                  <c:y val="-3.031347211420961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C-E742-430C-81B2-E85E3B84498F}"/>
                </c:ext>
              </c:extLst>
            </c:dLbl>
            <c:dLbl>
              <c:idx val="9"/>
              <c:layout>
                <c:manualLayout>
                  <c:x val="-3.2853103467806795E-2"/>
                  <c:y val="-2.755770192200877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D-E742-430C-81B2-E85E3B84498F}"/>
                </c:ext>
              </c:extLst>
            </c:dLbl>
            <c:dLbl>
              <c:idx val="10"/>
              <c:layout>
                <c:manualLayout>
                  <c:x val="-3.5958403729478318E-2"/>
                  <c:y val="3.306924230641039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E-E742-430C-81B2-E85E3B84498F}"/>
                </c:ext>
              </c:extLst>
            </c:dLbl>
            <c:dLbl>
              <c:idx val="11"/>
              <c:layout>
                <c:manualLayout>
                  <c:x val="-2.397222685714177E-2"/>
                  <c:y val="-4.409232307521396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F-E742-430C-81B2-E85E3B84498F}"/>
                </c:ext>
              </c:extLst>
            </c:dLbl>
            <c:dLbl>
              <c:idx val="12"/>
              <c:layout>
                <c:manualLayout>
                  <c:x val="-2.9394882050142703E-2"/>
                  <c:y val="-3.858078269081213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30-E742-430C-81B2-E85E3B84498F}"/>
                </c:ext>
              </c:extLst>
            </c:dLbl>
            <c:dLbl>
              <c:idx val="13"/>
              <c:layout>
                <c:manualLayout>
                  <c:x val="-2.7665771341310659E-2"/>
                  <c:y val="-2.755770192200858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31-E742-430C-81B2-E85E3B84498F}"/>
                </c:ext>
              </c:extLst>
            </c:dLbl>
            <c:dLbl>
              <c:idx val="14"/>
              <c:layout>
                <c:manualLayout>
                  <c:x val="-3.2853103467806621E-2"/>
                  <c:y val="-3.30692423064104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32-E742-430C-81B2-E85E3B84498F}"/>
                </c:ext>
              </c:extLst>
            </c:dLbl>
            <c:dLbl>
              <c:idx val="15"/>
              <c:layout>
                <c:manualLayout>
                  <c:x val="-3.8122597463898913E-2"/>
                  <c:y val="-2.755770192200866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33-E742-430C-81B2-E85E3B84498F}"/>
                </c:ext>
              </c:extLst>
            </c:dLbl>
            <c:dLbl>
              <c:idx val="16"/>
              <c:layout>
                <c:manualLayout>
                  <c:x val="-2.6136420591562359E-2"/>
                  <c:y val="-3.306924230641039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34-E742-430C-81B2-E85E3B84498F}"/>
                </c:ext>
              </c:extLst>
            </c:dLbl>
            <c:dLbl>
              <c:idx val="17"/>
              <c:layout>
                <c:manualLayout>
                  <c:x val="-2.4172074718991701E-2"/>
                  <c:y val="-3.031347211420953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3A94-4626-8EE7-0D407715EF9B}"/>
                </c:ext>
              </c:extLst>
            </c:dLbl>
            <c:dLbl>
              <c:idx val="18"/>
              <c:layout>
                <c:manualLayout>
                  <c:x val="-2.2560666514824586E-2"/>
                  <c:y val="-2.75575934271192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4.3888366887683591E-2"/>
                      <c:h val="7.0685505429952208E-2"/>
                    </c:manualLayout>
                  </c15:layout>
                </c:ext>
                <c:ext xmlns:c16="http://schemas.microsoft.com/office/drawing/2014/chart" uri="{C3380CC4-5D6E-409C-BE32-E72D297353CC}">
                  <c16:uniqueId val="{00000005-3A94-4626-8EE7-0D407715EF9B}"/>
                </c:ext>
              </c:extLst>
            </c:dLbl>
            <c:spPr>
              <a:noFill/>
              <a:ln>
                <a:noFill/>
              </a:ln>
              <a:effectLst/>
            </c:spPr>
            <c:txPr>
              <a:bodyPr/>
              <a:lstStyle/>
              <a:p>
                <a:pPr algn="ctr">
                  <a:defRPr lang="el-GR" sz="800" b="0" i="0" u="none" strike="noStrike" kern="1200" baseline="0">
                    <a:solidFill>
                      <a:prstClr val="black"/>
                    </a:solidFill>
                    <a:latin typeface="Calibri" panose="020F0502020204030204" pitchFamily="34" charset="0"/>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Φύλλο1!$A$2:$A$21</c:f>
              <c:strCache>
                <c:ptCount val="20"/>
                <c:pt idx="0">
                  <c:v>ΦΕΒΡ. 2010</c:v>
                </c:pt>
                <c:pt idx="1">
                  <c:v>ΙΟΥΛ. 2010</c:v>
                </c:pt>
                <c:pt idx="2">
                  <c:v>ΙΑΝ. 2011</c:v>
                </c:pt>
                <c:pt idx="3">
                  <c:v>ΙΟΥΛ. 2011</c:v>
                </c:pt>
                <c:pt idx="4">
                  <c:v>ΙΑΝ. 2012</c:v>
                </c:pt>
                <c:pt idx="5">
                  <c:v>ΙΟΥΛ. 2012</c:v>
                </c:pt>
                <c:pt idx="6">
                  <c:v>ΙΑΝ. 2013</c:v>
                </c:pt>
                <c:pt idx="7">
                  <c:v>ΙΟΥΛ. 2013</c:v>
                </c:pt>
                <c:pt idx="8">
                  <c:v>ΦΕΒΡ. 2014</c:v>
                </c:pt>
                <c:pt idx="9">
                  <c:v>ΙΟΥΛ. 2014</c:v>
                </c:pt>
                <c:pt idx="10">
                  <c:v>ΦΕΒΡ. 2015</c:v>
                </c:pt>
                <c:pt idx="11">
                  <c:v>ΙΟΥΛ. 2015</c:v>
                </c:pt>
                <c:pt idx="12">
                  <c:v>ΦΕΒΡ. 2016</c:v>
                </c:pt>
                <c:pt idx="13">
                  <c:v>ΙΟΥΛ. 2016</c:v>
                </c:pt>
                <c:pt idx="14">
                  <c:v>ΦΕΒΡ. 2017</c:v>
                </c:pt>
                <c:pt idx="15">
                  <c:v>ΙΟΥΛ. 2017</c:v>
                </c:pt>
                <c:pt idx="16">
                  <c:v>ΦΕΒΡ. 2018</c:v>
                </c:pt>
                <c:pt idx="17">
                  <c:v>ΙΟΥΛ. 2018</c:v>
                </c:pt>
                <c:pt idx="18">
                  <c:v>ΦΕΒΡ. 2019</c:v>
                </c:pt>
                <c:pt idx="19">
                  <c:v>ΙΟΥΛ. 2019</c:v>
                </c:pt>
              </c:strCache>
            </c:strRef>
          </c:cat>
          <c:val>
            <c:numRef>
              <c:f>Φύλλο1!$D$2:$D$21</c:f>
              <c:numCache>
                <c:formatCode>General</c:formatCode>
                <c:ptCount val="20"/>
                <c:pt idx="0">
                  <c:v>28.1</c:v>
                </c:pt>
                <c:pt idx="1">
                  <c:v>17.8</c:v>
                </c:pt>
                <c:pt idx="2">
                  <c:v>17.600000000000001</c:v>
                </c:pt>
                <c:pt idx="3">
                  <c:v>23.8</c:v>
                </c:pt>
                <c:pt idx="4">
                  <c:v>13.1</c:v>
                </c:pt>
                <c:pt idx="5">
                  <c:v>20.2</c:v>
                </c:pt>
                <c:pt idx="6">
                  <c:v>20.8</c:v>
                </c:pt>
                <c:pt idx="7">
                  <c:v>19.7</c:v>
                </c:pt>
                <c:pt idx="8">
                  <c:v>26.4</c:v>
                </c:pt>
                <c:pt idx="9">
                  <c:v>23</c:v>
                </c:pt>
                <c:pt idx="10">
                  <c:v>32.9</c:v>
                </c:pt>
                <c:pt idx="11">
                  <c:v>17.7</c:v>
                </c:pt>
                <c:pt idx="12">
                  <c:v>23.9</c:v>
                </c:pt>
                <c:pt idx="13">
                  <c:v>24.4</c:v>
                </c:pt>
                <c:pt idx="14">
                  <c:v>24.4</c:v>
                </c:pt>
                <c:pt idx="15">
                  <c:v>37</c:v>
                </c:pt>
                <c:pt idx="16" formatCode="0.0">
                  <c:v>39.88095238095238</c:v>
                </c:pt>
                <c:pt idx="17">
                  <c:v>40.4</c:v>
                </c:pt>
                <c:pt idx="18">
                  <c:v>42.1</c:v>
                </c:pt>
                <c:pt idx="19" formatCode="0.0">
                  <c:v>42.803970223325059</c:v>
                </c:pt>
              </c:numCache>
            </c:numRef>
          </c:val>
          <c:smooth val="0"/>
          <c:extLst xmlns:c16r2="http://schemas.microsoft.com/office/drawing/2015/06/chart">
            <c:ext xmlns:c16="http://schemas.microsoft.com/office/drawing/2014/chart" uri="{C3380CC4-5D6E-409C-BE32-E72D297353CC}">
              <c16:uniqueId val="{00000035-E742-430C-81B2-E85E3B84498F}"/>
            </c:ext>
          </c:extLst>
        </c:ser>
        <c:dLbls>
          <c:showLegendKey val="0"/>
          <c:showVal val="0"/>
          <c:showCatName val="0"/>
          <c:showSerName val="0"/>
          <c:showPercent val="0"/>
          <c:showBubbleSize val="0"/>
        </c:dLbls>
        <c:marker val="1"/>
        <c:smooth val="0"/>
        <c:axId val="347870336"/>
        <c:axId val="347871872"/>
      </c:lineChart>
      <c:catAx>
        <c:axId val="347870336"/>
        <c:scaling>
          <c:orientation val="minMax"/>
        </c:scaling>
        <c:delete val="0"/>
        <c:axPos val="b"/>
        <c:numFmt formatCode="General" sourceLinked="0"/>
        <c:majorTickMark val="out"/>
        <c:minorTickMark val="none"/>
        <c:tickLblPos val="nextTo"/>
        <c:txPr>
          <a:bodyPr/>
          <a:lstStyle/>
          <a:p>
            <a:pPr>
              <a:defRPr sz="800">
                <a:latin typeface="Calibri" panose="020F0502020204030204" pitchFamily="34" charset="0"/>
              </a:defRPr>
            </a:pPr>
            <a:endParaRPr lang="el-GR"/>
          </a:p>
        </c:txPr>
        <c:crossAx val="347871872"/>
        <c:crosses val="autoZero"/>
        <c:auto val="1"/>
        <c:lblAlgn val="ctr"/>
        <c:lblOffset val="100"/>
        <c:noMultiLvlLbl val="0"/>
      </c:catAx>
      <c:valAx>
        <c:axId val="347871872"/>
        <c:scaling>
          <c:orientation val="minMax"/>
        </c:scaling>
        <c:delete val="0"/>
        <c:axPos val="l"/>
        <c:majorGridlines/>
        <c:numFmt formatCode="General" sourceLinked="1"/>
        <c:majorTickMark val="out"/>
        <c:minorTickMark val="none"/>
        <c:tickLblPos val="nextTo"/>
        <c:txPr>
          <a:bodyPr/>
          <a:lstStyle/>
          <a:p>
            <a:pPr>
              <a:defRPr sz="1200">
                <a:latin typeface="Calibri" panose="020F0502020204030204" pitchFamily="34" charset="0"/>
              </a:defRPr>
            </a:pPr>
            <a:endParaRPr lang="el-GR"/>
          </a:p>
        </c:txPr>
        <c:crossAx val="347870336"/>
        <c:crosses val="autoZero"/>
        <c:crossBetween val="between"/>
      </c:valAx>
    </c:plotArea>
    <c:legend>
      <c:legendPos val="r"/>
      <c:layout>
        <c:manualLayout>
          <c:xMode val="edge"/>
          <c:yMode val="edge"/>
          <c:x val="0.26390885762148431"/>
          <c:y val="2.1170173800133352E-2"/>
          <c:w val="0.48457764533539227"/>
          <c:h val="7.3057203713476279E-2"/>
        </c:manualLayout>
      </c:layout>
      <c:overlay val="0"/>
      <c:txPr>
        <a:bodyPr/>
        <a:lstStyle/>
        <a:p>
          <a:pPr>
            <a:defRPr sz="1200">
              <a:latin typeface="Calibri" panose="020F0502020204030204" pitchFamily="34" charset="0"/>
            </a:defRPr>
          </a:pPr>
          <a:endParaRPr lang="el-GR"/>
        </a:p>
      </c:txPr>
    </c:legend>
    <c:plotVisOnly val="1"/>
    <c:dispBlanksAs val="gap"/>
    <c:showDLblsOverMax val="0"/>
  </c:chart>
  <c:txPr>
    <a:bodyPr/>
    <a:lstStyle/>
    <a:p>
      <a:pPr>
        <a:defRPr sz="1800"/>
      </a:pPr>
      <a:endParaRPr lang="el-GR"/>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1285730835225335E-2"/>
          <c:y val="0.1249051754666148"/>
          <c:w val="0.93775473749104465"/>
          <c:h val="0.74713508394900563"/>
        </c:manualLayout>
      </c:layout>
      <c:lineChart>
        <c:grouping val="standard"/>
        <c:varyColors val="0"/>
        <c:ser>
          <c:idx val="0"/>
          <c:order val="0"/>
          <c:tx>
            <c:strRef>
              <c:f>Φύλλο1!$B$1</c:f>
              <c:strCache>
                <c:ptCount val="1"/>
                <c:pt idx="0">
                  <c:v>Αύξηση</c:v>
                </c:pt>
              </c:strCache>
            </c:strRef>
          </c:tx>
          <c:spPr>
            <a:ln>
              <a:solidFill>
                <a:schemeClr val="accent3">
                  <a:lumMod val="75000"/>
                </a:schemeClr>
              </a:solidFill>
            </a:ln>
          </c:spPr>
          <c:marker>
            <c:spPr>
              <a:solidFill>
                <a:schemeClr val="accent3">
                  <a:lumMod val="75000"/>
                </a:schemeClr>
              </a:solidFill>
              <a:ln>
                <a:solidFill>
                  <a:schemeClr val="accent3">
                    <a:lumMod val="75000"/>
                  </a:schemeClr>
                </a:solidFill>
              </a:ln>
            </c:spPr>
          </c:marker>
          <c:dLbls>
            <c:dLbl>
              <c:idx val="0"/>
              <c:layout>
                <c:manualLayout>
                  <c:x val="-2.5951413755546635E-2"/>
                  <c:y val="-3.359414058160204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7AA6-4BAF-AD8B-B75659E66A70}"/>
                </c:ext>
              </c:extLst>
            </c:dLbl>
            <c:dLbl>
              <c:idx val="1"/>
              <c:layout>
                <c:manualLayout>
                  <c:x val="-3.4293983675016612E-2"/>
                  <c:y val="-3.617501701199889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7AA6-4BAF-AD8B-B75659E66A70}"/>
                </c:ext>
              </c:extLst>
            </c:dLbl>
            <c:dLbl>
              <c:idx val="2"/>
              <c:layout>
                <c:manualLayout>
                  <c:x val="-3.2660980055714002E-2"/>
                  <c:y val="-3.079463833824459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7AA6-4BAF-AD8B-B75659E66A70}"/>
                </c:ext>
              </c:extLst>
            </c:dLbl>
            <c:dLbl>
              <c:idx val="3"/>
              <c:layout>
                <c:manualLayout>
                  <c:x val="-2.9158441084893755E-2"/>
                  <c:y val="-3.070709157315843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7AA6-4BAF-AD8B-B75659E66A70}"/>
                </c:ext>
              </c:extLst>
            </c:dLbl>
            <c:dLbl>
              <c:idx val="4"/>
              <c:layout>
                <c:manualLayout>
                  <c:x val="-3.621520266811358E-2"/>
                  <c:y val="-2.812664912231974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7AA6-4BAF-AD8B-B75659E66A70}"/>
                </c:ext>
              </c:extLst>
            </c:dLbl>
            <c:dLbl>
              <c:idx val="5"/>
              <c:layout>
                <c:manualLayout>
                  <c:x val="-2.8419563068490965E-2"/>
                  <c:y val="-2.528299806965892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7AA6-4BAF-AD8B-B75659E66A70}"/>
                </c:ext>
              </c:extLst>
            </c:dLbl>
            <c:dLbl>
              <c:idx val="6"/>
              <c:layout>
                <c:manualLayout>
                  <c:x val="-2.2781300653203777E-2"/>
                  <c:y val="-2.012146219864469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7AA6-4BAF-AD8B-B75659E66A70}"/>
                </c:ext>
              </c:extLst>
            </c:dLbl>
            <c:dLbl>
              <c:idx val="7"/>
              <c:layout>
                <c:manualLayout>
                  <c:x val="-3.2853103467806719E-2"/>
                  <c:y val="-3.031347211420961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7AA6-4BAF-AD8B-B75659E66A70}"/>
                </c:ext>
              </c:extLst>
            </c:dLbl>
            <c:dLbl>
              <c:idx val="8"/>
              <c:layout>
                <c:manualLayout>
                  <c:x val="-2.5094315256519513E-2"/>
                  <c:y val="-4.133655288301289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7AA6-4BAF-AD8B-B75659E66A70}"/>
                </c:ext>
              </c:extLst>
            </c:dLbl>
            <c:dLbl>
              <c:idx val="9"/>
              <c:layout>
                <c:manualLayout>
                  <c:x val="-3.1123992758974778E-2"/>
                  <c:y val="-2.755770192200867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7AA6-4BAF-AD8B-B75659E66A70}"/>
                </c:ext>
              </c:extLst>
            </c:dLbl>
            <c:dLbl>
              <c:idx val="10"/>
              <c:layout>
                <c:manualLayout>
                  <c:x val="-3.6754700569832224E-2"/>
                  <c:y val="-2.204616153760693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7AA6-4BAF-AD8B-B75659E66A70}"/>
                </c:ext>
              </c:extLst>
            </c:dLbl>
            <c:dLbl>
              <c:idx val="11"/>
              <c:layout>
                <c:manualLayout>
                  <c:x val="-1.9951249481301697E-2"/>
                  <c:y val="-2.755770192200876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7AA6-4BAF-AD8B-B75659E66A70}"/>
                </c:ext>
              </c:extLst>
            </c:dLbl>
            <c:dLbl>
              <c:idx val="12"/>
              <c:layout>
                <c:manualLayout>
                  <c:x val="-1.7291107088319164E-2"/>
                  <c:y val="-2.480193172980785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7AA6-4BAF-AD8B-B75659E66A70}"/>
                </c:ext>
              </c:extLst>
            </c:dLbl>
            <c:dLbl>
              <c:idx val="13"/>
              <c:layout>
                <c:manualLayout>
                  <c:x val="-3.4582214176638329E-2"/>
                  <c:y val="-3.582501249861146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7AA6-4BAF-AD8B-B75659E66A70}"/>
                </c:ext>
              </c:extLst>
            </c:dLbl>
            <c:dLbl>
              <c:idx val="14"/>
              <c:layout>
                <c:manualLayout>
                  <c:x val="-2.9395018200591972E-2"/>
                  <c:y val="-2.755770192200867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7AA6-4BAF-AD8B-B75659E66A70}"/>
                </c:ext>
              </c:extLst>
            </c:dLbl>
            <c:dLbl>
              <c:idx val="15"/>
              <c:layout>
                <c:manualLayout>
                  <c:x val="-1.5561996379487261E-2"/>
                  <c:y val="-2.480193172980784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7AA6-4BAF-AD8B-B75659E66A70}"/>
                </c:ext>
              </c:extLst>
            </c:dLbl>
            <c:dLbl>
              <c:idx val="16"/>
              <c:layout>
                <c:manualLayout>
                  <c:x val="-3.1301365375357153E-2"/>
                  <c:y val="-1.377885096100443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7AA6-4BAF-AD8B-B75659E66A70}"/>
                </c:ext>
              </c:extLst>
            </c:dLbl>
            <c:dLbl>
              <c:idx val="17"/>
              <c:layout>
                <c:manualLayout>
                  <c:x val="-2.7707154095888791E-2"/>
                  <c:y val="-3.031347211420953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7AA6-4BAF-AD8B-B75659E66A70}"/>
                </c:ext>
              </c:extLst>
            </c:dLbl>
            <c:dLbl>
              <c:idx val="18"/>
              <c:layout>
                <c:manualLayout>
                  <c:x val="-3.0252692720751935E-2"/>
                  <c:y val="3.582501249861116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83E-4180-9338-FB46D44045E4}"/>
                </c:ext>
              </c:extLst>
            </c:dLbl>
            <c:dLbl>
              <c:idx val="19"/>
              <c:layout>
                <c:manualLayout>
                  <c:x val="0"/>
                  <c:y val="-1.653462115320530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A9B1-4220-B691-62D61441C953}"/>
                </c:ext>
              </c:extLst>
            </c:dLbl>
            <c:spPr>
              <a:noFill/>
              <a:ln>
                <a:noFill/>
              </a:ln>
              <a:effectLst/>
            </c:spPr>
            <c:txPr>
              <a:bodyPr/>
              <a:lstStyle/>
              <a:p>
                <a:pPr>
                  <a:defRPr sz="800">
                    <a:latin typeface="Calibri" panose="020F0502020204030204" pitchFamily="34" charset="0"/>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Φύλλο1!$A$2:$A$21</c:f>
              <c:strCache>
                <c:ptCount val="20"/>
                <c:pt idx="0">
                  <c:v>ΦΕΒΡ. 2010</c:v>
                </c:pt>
                <c:pt idx="1">
                  <c:v>ΙΟΥΛ. 2010</c:v>
                </c:pt>
                <c:pt idx="2">
                  <c:v>ΙΑΝ. 2011</c:v>
                </c:pt>
                <c:pt idx="3">
                  <c:v>ΙΟΥΛ. 2011</c:v>
                </c:pt>
                <c:pt idx="4">
                  <c:v>ΙΑΝ. 2012</c:v>
                </c:pt>
                <c:pt idx="5">
                  <c:v>ΙΟΥΛ. 2012</c:v>
                </c:pt>
                <c:pt idx="6">
                  <c:v>ΙΑΝ. 2013</c:v>
                </c:pt>
                <c:pt idx="7">
                  <c:v>ΙΟΥΛ. 2013</c:v>
                </c:pt>
                <c:pt idx="8">
                  <c:v>ΦΕΒΡ. 2014</c:v>
                </c:pt>
                <c:pt idx="9">
                  <c:v>ΙΟΥΛ. 2014</c:v>
                </c:pt>
                <c:pt idx="10">
                  <c:v>ΦΕΒΡ. 2015</c:v>
                </c:pt>
                <c:pt idx="11">
                  <c:v>ΙΟΥΛ. 2015</c:v>
                </c:pt>
                <c:pt idx="12">
                  <c:v>ΦΕΒΡ. 2016</c:v>
                </c:pt>
                <c:pt idx="13">
                  <c:v>ΙΟΥΛ. 2016</c:v>
                </c:pt>
                <c:pt idx="14">
                  <c:v>ΦΕΒΡ. 2017</c:v>
                </c:pt>
                <c:pt idx="15">
                  <c:v>ΙΟΥΛ. 2017</c:v>
                </c:pt>
                <c:pt idx="16">
                  <c:v>ΦΕΒΡ. 2018</c:v>
                </c:pt>
                <c:pt idx="17">
                  <c:v>ΙΟΥΛ. 2018</c:v>
                </c:pt>
                <c:pt idx="18">
                  <c:v>ΦΕΒΡ. 2019</c:v>
                </c:pt>
                <c:pt idx="19">
                  <c:v>ΙΟΥΛ. 2019</c:v>
                </c:pt>
              </c:strCache>
            </c:strRef>
          </c:cat>
          <c:val>
            <c:numRef>
              <c:f>Φύλλο1!$B$2:$B$21</c:f>
              <c:numCache>
                <c:formatCode>General</c:formatCode>
                <c:ptCount val="20"/>
                <c:pt idx="0">
                  <c:v>8</c:v>
                </c:pt>
                <c:pt idx="1">
                  <c:v>6.4</c:v>
                </c:pt>
                <c:pt idx="2">
                  <c:v>3.3</c:v>
                </c:pt>
                <c:pt idx="3">
                  <c:v>4.5999999999999996</c:v>
                </c:pt>
                <c:pt idx="4">
                  <c:v>2.8</c:v>
                </c:pt>
                <c:pt idx="5">
                  <c:v>5.0999999999999996</c:v>
                </c:pt>
                <c:pt idx="6">
                  <c:v>5.5</c:v>
                </c:pt>
                <c:pt idx="7">
                  <c:v>4.3</c:v>
                </c:pt>
                <c:pt idx="8">
                  <c:v>9</c:v>
                </c:pt>
                <c:pt idx="9">
                  <c:v>7.5</c:v>
                </c:pt>
                <c:pt idx="10">
                  <c:v>13.2</c:v>
                </c:pt>
                <c:pt idx="11">
                  <c:v>2.6</c:v>
                </c:pt>
                <c:pt idx="12">
                  <c:v>3.4</c:v>
                </c:pt>
                <c:pt idx="13">
                  <c:v>2.1</c:v>
                </c:pt>
                <c:pt idx="14">
                  <c:v>3.6</c:v>
                </c:pt>
                <c:pt idx="15">
                  <c:v>4.2</c:v>
                </c:pt>
                <c:pt idx="16" formatCode="0.0">
                  <c:v>6.6468253968253972</c:v>
                </c:pt>
                <c:pt idx="17">
                  <c:v>10.3</c:v>
                </c:pt>
                <c:pt idx="18">
                  <c:v>8.6</c:v>
                </c:pt>
                <c:pt idx="19" formatCode="0.0">
                  <c:v>15.384615384615385</c:v>
                </c:pt>
              </c:numCache>
            </c:numRef>
          </c:val>
          <c:smooth val="0"/>
          <c:extLst xmlns:c16r2="http://schemas.microsoft.com/office/drawing/2015/06/chart">
            <c:ext xmlns:c16="http://schemas.microsoft.com/office/drawing/2014/chart" uri="{C3380CC4-5D6E-409C-BE32-E72D297353CC}">
              <c16:uniqueId val="{00000012-7AA6-4BAF-AD8B-B75659E66A70}"/>
            </c:ext>
          </c:extLst>
        </c:ser>
        <c:ser>
          <c:idx val="1"/>
          <c:order val="1"/>
          <c:tx>
            <c:strRef>
              <c:f>Φύλλο1!$C$1</c:f>
              <c:strCache>
                <c:ptCount val="1"/>
                <c:pt idx="0">
                  <c:v>Μείωση </c:v>
                </c:pt>
              </c:strCache>
            </c:strRef>
          </c:tx>
          <c:spPr>
            <a:ln>
              <a:solidFill>
                <a:schemeClr val="accent2">
                  <a:lumMod val="75000"/>
                </a:schemeClr>
              </a:solidFill>
            </a:ln>
          </c:spPr>
          <c:marker>
            <c:spPr>
              <a:solidFill>
                <a:schemeClr val="accent2">
                  <a:lumMod val="75000"/>
                </a:schemeClr>
              </a:solidFill>
              <a:ln>
                <a:solidFill>
                  <a:schemeClr val="accent2">
                    <a:lumMod val="75000"/>
                  </a:schemeClr>
                </a:solidFill>
              </a:ln>
            </c:spPr>
          </c:marker>
          <c:dLbls>
            <c:dLbl>
              <c:idx val="1"/>
              <c:layout>
                <c:manualLayout>
                  <c:x val="-3.0325809003178186E-2"/>
                  <c:y val="-3.217350849905571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7AA6-4BAF-AD8B-B75659E66A70}"/>
                </c:ext>
              </c:extLst>
            </c:dLbl>
            <c:dLbl>
              <c:idx val="2"/>
              <c:layout>
                <c:manualLayout>
                  <c:x val="-3.1833238851903443E-2"/>
                  <c:y val="-4.3196589267859124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7AA6-4BAF-AD8B-B75659E66A70}"/>
                </c:ext>
              </c:extLst>
            </c:dLbl>
            <c:dLbl>
              <c:idx val="10"/>
              <c:layout>
                <c:manualLayout>
                  <c:x val="-3.4848098549353966E-2"/>
                  <c:y val="2.2941895344961671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D-7AA6-4BAF-AD8B-B75659E66A70}"/>
                </c:ext>
              </c:extLst>
            </c:dLbl>
            <c:dLbl>
              <c:idx val="11"/>
              <c:layout>
                <c:manualLayout>
                  <c:x val="-3.4848098549353966E-2"/>
                  <c:y val="-3.7685048883457396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E-7AA6-4BAF-AD8B-B75659E66A70}"/>
                </c:ext>
              </c:extLst>
            </c:dLbl>
            <c:dLbl>
              <c:idx val="16"/>
              <c:layout>
                <c:manualLayout>
                  <c:x val="-3.9370388095529854E-2"/>
                  <c:y val="1.7430354960559939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3-7AA6-4BAF-AD8B-B75659E66A70}"/>
                </c:ext>
              </c:extLst>
            </c:dLbl>
            <c:dLbl>
              <c:idx val="17"/>
              <c:layout>
                <c:manualLayout>
                  <c:x val="-2.5743222263053391E-2"/>
                  <c:y val="2.8453435729363302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4-7AA6-4BAF-AD8B-B75659E66A70}"/>
                </c:ext>
              </c:extLst>
            </c:dLbl>
            <c:dLbl>
              <c:idx val="18"/>
              <c:layout>
                <c:manualLayout>
                  <c:x val="-3.0325809003178186E-2"/>
                  <c:y val="-4.0440819075658364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E83E-4180-9338-FB46D44045E4}"/>
                </c:ext>
              </c:extLst>
            </c:dLbl>
            <c:dLbl>
              <c:idx val="19"/>
              <c:layout>
                <c:manualLayout>
                  <c:x val="-1.8165123153458889E-3"/>
                  <c:y val="2.018612515276070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A9B1-4220-B691-62D61441C953}"/>
                </c:ext>
              </c:extLst>
            </c:dLbl>
            <c:spPr>
              <a:noFill/>
              <a:ln>
                <a:noFill/>
              </a:ln>
              <a:effectLst/>
            </c:spPr>
            <c:txPr>
              <a:bodyPr/>
              <a:lstStyle/>
              <a:p>
                <a:pPr>
                  <a:defRPr sz="800">
                    <a:latin typeface="Calibri" panose="020F0502020204030204" pitchFamily="34" charset="0"/>
                  </a:defRPr>
                </a:pPr>
                <a:endParaRPr lang="el-GR"/>
              </a:p>
            </c:txPr>
            <c:dLblPos val="b"/>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Φύλλο1!$A$2:$A$21</c:f>
              <c:strCache>
                <c:ptCount val="20"/>
                <c:pt idx="0">
                  <c:v>ΦΕΒΡ. 2010</c:v>
                </c:pt>
                <c:pt idx="1">
                  <c:v>ΙΟΥΛ. 2010</c:v>
                </c:pt>
                <c:pt idx="2">
                  <c:v>ΙΑΝ. 2011</c:v>
                </c:pt>
                <c:pt idx="3">
                  <c:v>ΙΟΥΛ. 2011</c:v>
                </c:pt>
                <c:pt idx="4">
                  <c:v>ΙΑΝ. 2012</c:v>
                </c:pt>
                <c:pt idx="5">
                  <c:v>ΙΟΥΛ. 2012</c:v>
                </c:pt>
                <c:pt idx="6">
                  <c:v>ΙΑΝ. 2013</c:v>
                </c:pt>
                <c:pt idx="7">
                  <c:v>ΙΟΥΛ. 2013</c:v>
                </c:pt>
                <c:pt idx="8">
                  <c:v>ΦΕΒΡ. 2014</c:v>
                </c:pt>
                <c:pt idx="9">
                  <c:v>ΙΟΥΛ. 2014</c:v>
                </c:pt>
                <c:pt idx="10">
                  <c:v>ΦΕΒΡ. 2015</c:v>
                </c:pt>
                <c:pt idx="11">
                  <c:v>ΙΟΥΛ. 2015</c:v>
                </c:pt>
                <c:pt idx="12">
                  <c:v>ΦΕΒΡ. 2016</c:v>
                </c:pt>
                <c:pt idx="13">
                  <c:v>ΙΟΥΛ. 2016</c:v>
                </c:pt>
                <c:pt idx="14">
                  <c:v>ΦΕΒΡ. 2017</c:v>
                </c:pt>
                <c:pt idx="15">
                  <c:v>ΙΟΥΛ. 2017</c:v>
                </c:pt>
                <c:pt idx="16">
                  <c:v>ΦΕΒΡ. 2018</c:v>
                </c:pt>
                <c:pt idx="17">
                  <c:v>ΙΟΥΛ. 2018</c:v>
                </c:pt>
                <c:pt idx="18">
                  <c:v>ΦΕΒΡ. 2019</c:v>
                </c:pt>
                <c:pt idx="19">
                  <c:v>ΙΟΥΛ. 2019</c:v>
                </c:pt>
              </c:strCache>
            </c:strRef>
          </c:cat>
          <c:val>
            <c:numRef>
              <c:f>Φύλλο1!$C$2:$C$21</c:f>
              <c:numCache>
                <c:formatCode>General</c:formatCode>
                <c:ptCount val="20"/>
                <c:pt idx="0">
                  <c:v>33.6</c:v>
                </c:pt>
                <c:pt idx="1">
                  <c:v>47.5</c:v>
                </c:pt>
                <c:pt idx="2">
                  <c:v>43.2</c:v>
                </c:pt>
                <c:pt idx="3">
                  <c:v>34.6</c:v>
                </c:pt>
                <c:pt idx="4">
                  <c:v>40.5</c:v>
                </c:pt>
                <c:pt idx="5">
                  <c:v>33.1</c:v>
                </c:pt>
                <c:pt idx="6">
                  <c:v>41.5</c:v>
                </c:pt>
                <c:pt idx="7">
                  <c:v>34.1</c:v>
                </c:pt>
                <c:pt idx="8">
                  <c:v>39</c:v>
                </c:pt>
                <c:pt idx="9">
                  <c:v>31.5</c:v>
                </c:pt>
                <c:pt idx="10">
                  <c:v>25.7</c:v>
                </c:pt>
                <c:pt idx="11">
                  <c:v>46.6</c:v>
                </c:pt>
                <c:pt idx="12">
                  <c:v>36.5</c:v>
                </c:pt>
                <c:pt idx="13">
                  <c:v>29.3</c:v>
                </c:pt>
                <c:pt idx="14">
                  <c:v>31.4</c:v>
                </c:pt>
                <c:pt idx="15">
                  <c:v>21.8</c:v>
                </c:pt>
                <c:pt idx="16" formatCode="0.0">
                  <c:v>15.773809523809524</c:v>
                </c:pt>
                <c:pt idx="17">
                  <c:v>9.5</c:v>
                </c:pt>
                <c:pt idx="18">
                  <c:v>12.4</c:v>
                </c:pt>
                <c:pt idx="19" formatCode="0.0">
                  <c:v>10.297766749379653</c:v>
                </c:pt>
              </c:numCache>
            </c:numRef>
          </c:val>
          <c:smooth val="0"/>
          <c:extLst xmlns:c16r2="http://schemas.microsoft.com/office/drawing/2015/06/chart">
            <c:ext xmlns:c16="http://schemas.microsoft.com/office/drawing/2014/chart" uri="{C3380CC4-5D6E-409C-BE32-E72D297353CC}">
              <c16:uniqueId val="{00000025-7AA6-4BAF-AD8B-B75659E66A70}"/>
            </c:ext>
          </c:extLst>
        </c:ser>
        <c:ser>
          <c:idx val="2"/>
          <c:order val="2"/>
          <c:tx>
            <c:strRef>
              <c:f>Φύλλο1!$D$1</c:f>
              <c:strCache>
                <c:ptCount val="1"/>
                <c:pt idx="0">
                  <c:v>Σταθεροποίηση</c:v>
                </c:pt>
              </c:strCache>
            </c:strRef>
          </c:tx>
          <c:spPr>
            <a:ln>
              <a:solidFill>
                <a:schemeClr val="accent1">
                  <a:lumMod val="75000"/>
                </a:schemeClr>
              </a:solidFill>
            </a:ln>
          </c:spPr>
          <c:marker>
            <c:spPr>
              <a:solidFill>
                <a:schemeClr val="accent1">
                  <a:lumMod val="75000"/>
                </a:schemeClr>
              </a:solidFill>
              <a:ln>
                <a:solidFill>
                  <a:schemeClr val="accent1">
                    <a:lumMod val="75000"/>
                  </a:schemeClr>
                </a:solidFill>
              </a:ln>
            </c:spPr>
          </c:marker>
          <c:dLbls>
            <c:dLbl>
              <c:idx val="0"/>
              <c:layout>
                <c:manualLayout>
                  <c:x val="-2.6128784044571168E-2"/>
                  <c:y val="-3.359415091444862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6-7AA6-4BAF-AD8B-B75659E66A70}"/>
                </c:ext>
              </c:extLst>
            </c:dLbl>
            <c:dLbl>
              <c:idx val="1"/>
              <c:layout>
                <c:manualLayout>
                  <c:x val="-2.0727160419972329E-2"/>
                  <c:y val="2.707663558215753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7-7AA6-4BAF-AD8B-B75659E66A70}"/>
                </c:ext>
              </c:extLst>
            </c:dLbl>
            <c:dLbl>
              <c:idx val="2"/>
              <c:layout>
                <c:manualLayout>
                  <c:x val="-3.2697933847806109E-2"/>
                  <c:y val="3.000729953616254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8-7AA6-4BAF-AD8B-B75659E66A70}"/>
                </c:ext>
              </c:extLst>
            </c:dLbl>
            <c:dLbl>
              <c:idx val="3"/>
              <c:layout>
                <c:manualLayout>
                  <c:x val="-2.2862686038999786E-2"/>
                  <c:y val="-2.519561318583660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9-7AA6-4BAF-AD8B-B75659E66A70}"/>
                </c:ext>
              </c:extLst>
            </c:dLbl>
            <c:dLbl>
              <c:idx val="4"/>
              <c:layout>
                <c:manualLayout>
                  <c:x val="-2.8722434979991163E-2"/>
                  <c:y val="-2.782025955449400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A-7AA6-4BAF-AD8B-B75659E66A70}"/>
                </c:ext>
              </c:extLst>
            </c:dLbl>
            <c:dLbl>
              <c:idx val="5"/>
              <c:layout>
                <c:manualLayout>
                  <c:x val="-2.7665771341310659E-2"/>
                  <c:y val="-1.705973641817575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B-7AA6-4BAF-AD8B-B75659E66A70}"/>
                </c:ext>
              </c:extLst>
            </c:dLbl>
            <c:dLbl>
              <c:idx val="6"/>
              <c:layout>
                <c:manualLayout>
                  <c:x val="-2.4111399777992377E-2"/>
                  <c:y val="-5.402177535829352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C-7AA6-4BAF-AD8B-B75659E66A70}"/>
                </c:ext>
              </c:extLst>
            </c:dLbl>
            <c:dLbl>
              <c:idx val="7"/>
              <c:layout>
                <c:manualLayout>
                  <c:x val="-3.2853103467806719E-2"/>
                  <c:y val="-3.858078269081213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D-7AA6-4BAF-AD8B-B75659E66A70}"/>
                </c:ext>
              </c:extLst>
            </c:dLbl>
            <c:dLbl>
              <c:idx val="8"/>
              <c:layout>
                <c:manualLayout>
                  <c:x val="-2.2478439214815002E-2"/>
                  <c:y val="-3.582501249861145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E-7AA6-4BAF-AD8B-B75659E66A70}"/>
                </c:ext>
              </c:extLst>
            </c:dLbl>
            <c:dLbl>
              <c:idx val="9"/>
              <c:layout>
                <c:manualLayout>
                  <c:x val="-3.1123992758974778E-2"/>
                  <c:y val="-3.582501249861165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F-7AA6-4BAF-AD8B-B75659E66A70}"/>
                </c:ext>
              </c:extLst>
            </c:dLbl>
            <c:dLbl>
              <c:idx val="10"/>
              <c:layout>
                <c:manualLayout>
                  <c:x val="-2.1680402082579618E-2"/>
                  <c:y val="-2.755770192200871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30-7AA6-4BAF-AD8B-B75659E66A70}"/>
                </c:ext>
              </c:extLst>
            </c:dLbl>
            <c:dLbl>
              <c:idx val="11"/>
              <c:layout>
                <c:manualLayout>
                  <c:x val="-2.6557353076628713E-2"/>
                  <c:y val="3.858078269081213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31-7AA6-4BAF-AD8B-B75659E66A70}"/>
                </c:ext>
              </c:extLst>
            </c:dLbl>
            <c:dLbl>
              <c:idx val="12"/>
              <c:layout>
                <c:manualLayout>
                  <c:x val="-2.7665771341310659E-2"/>
                  <c:y val="-3.30692423064104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32-7AA6-4BAF-AD8B-B75659E66A70}"/>
                </c:ext>
              </c:extLst>
            </c:dLbl>
            <c:dLbl>
              <c:idx val="13"/>
              <c:layout>
                <c:manualLayout>
                  <c:x val="-2.4207549923646831E-2"/>
                  <c:y val="-3.031347211420945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33-7AA6-4BAF-AD8B-B75659E66A70}"/>
                </c:ext>
              </c:extLst>
            </c:dLbl>
            <c:dLbl>
              <c:idx val="14"/>
              <c:layout>
                <c:manualLayout>
                  <c:x val="-3.2853103467806413E-2"/>
                  <c:y val="-2.204637852738585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34-7AA6-4BAF-AD8B-B75659E66A70}"/>
                </c:ext>
              </c:extLst>
            </c:dLbl>
            <c:dLbl>
              <c:idx val="15"/>
              <c:layout>
                <c:manualLayout>
                  <c:x val="-2.7665771341310659E-2"/>
                  <c:y val="-3.031347211420953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35-7AA6-4BAF-AD8B-B75659E66A70}"/>
                </c:ext>
              </c:extLst>
            </c:dLbl>
            <c:dLbl>
              <c:idx val="16"/>
              <c:layout>
                <c:manualLayout>
                  <c:x val="-3.1123992758974376E-2"/>
                  <c:y val="-3.858078269081223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36-7AA6-4BAF-AD8B-B75659E66A70}"/>
                </c:ext>
              </c:extLst>
            </c:dLbl>
            <c:dLbl>
              <c:idx val="17"/>
              <c:layout>
                <c:manualLayout>
                  <c:x val="-3.2582307183293482E-2"/>
                  <c:y val="-2.755770192200876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37-7AA6-4BAF-AD8B-B75659E66A70}"/>
                </c:ext>
              </c:extLst>
            </c:dLbl>
            <c:dLbl>
              <c:idx val="18"/>
              <c:layout>
                <c:manualLayout>
                  <c:x val="-3.7114703304571096E-2"/>
                  <c:y val="-4.133655288301300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E83E-4180-9338-FB46D44045E4}"/>
                </c:ext>
              </c:extLst>
            </c:dLbl>
            <c:dLbl>
              <c:idx val="19"/>
              <c:layout>
                <c:manualLayout>
                  <c:x val="0"/>
                  <c:y val="-4.133655288301300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A9B1-4220-B691-62D61441C953}"/>
                </c:ext>
              </c:extLst>
            </c:dLbl>
            <c:spPr>
              <a:noFill/>
              <a:ln>
                <a:noFill/>
              </a:ln>
              <a:effectLst/>
            </c:spPr>
            <c:txPr>
              <a:bodyPr/>
              <a:lstStyle/>
              <a:p>
                <a:pPr algn="ctr">
                  <a:defRPr lang="el-GR" sz="800" b="0" i="0" u="none" strike="noStrike" kern="1200" baseline="0">
                    <a:solidFill>
                      <a:prstClr val="black"/>
                    </a:solidFill>
                    <a:latin typeface="Calibri" panose="020F0502020204030204" pitchFamily="34" charset="0"/>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Φύλλο1!$A$2:$A$21</c:f>
              <c:strCache>
                <c:ptCount val="20"/>
                <c:pt idx="0">
                  <c:v>ΦΕΒΡ. 2010</c:v>
                </c:pt>
                <c:pt idx="1">
                  <c:v>ΙΟΥΛ. 2010</c:v>
                </c:pt>
                <c:pt idx="2">
                  <c:v>ΙΑΝ. 2011</c:v>
                </c:pt>
                <c:pt idx="3">
                  <c:v>ΙΟΥΛ. 2011</c:v>
                </c:pt>
                <c:pt idx="4">
                  <c:v>ΙΑΝ. 2012</c:v>
                </c:pt>
                <c:pt idx="5">
                  <c:v>ΙΟΥΛ. 2012</c:v>
                </c:pt>
                <c:pt idx="6">
                  <c:v>ΙΑΝ. 2013</c:v>
                </c:pt>
                <c:pt idx="7">
                  <c:v>ΙΟΥΛ. 2013</c:v>
                </c:pt>
                <c:pt idx="8">
                  <c:v>ΦΕΒΡ. 2014</c:v>
                </c:pt>
                <c:pt idx="9">
                  <c:v>ΙΟΥΛ. 2014</c:v>
                </c:pt>
                <c:pt idx="10">
                  <c:v>ΦΕΒΡ. 2015</c:v>
                </c:pt>
                <c:pt idx="11">
                  <c:v>ΙΟΥΛ. 2015</c:v>
                </c:pt>
                <c:pt idx="12">
                  <c:v>ΦΕΒΡ. 2016</c:v>
                </c:pt>
                <c:pt idx="13">
                  <c:v>ΙΟΥΛ. 2016</c:v>
                </c:pt>
                <c:pt idx="14">
                  <c:v>ΦΕΒΡ. 2017</c:v>
                </c:pt>
                <c:pt idx="15">
                  <c:v>ΙΟΥΛ. 2017</c:v>
                </c:pt>
                <c:pt idx="16">
                  <c:v>ΦΕΒΡ. 2018</c:v>
                </c:pt>
                <c:pt idx="17">
                  <c:v>ΙΟΥΛ. 2018</c:v>
                </c:pt>
                <c:pt idx="18">
                  <c:v>ΦΕΒΡ. 2019</c:v>
                </c:pt>
                <c:pt idx="19">
                  <c:v>ΙΟΥΛ. 2019</c:v>
                </c:pt>
              </c:strCache>
            </c:strRef>
          </c:cat>
          <c:val>
            <c:numRef>
              <c:f>Φύλλο1!$D$2:$D$21</c:f>
              <c:numCache>
                <c:formatCode>General</c:formatCode>
                <c:ptCount val="20"/>
                <c:pt idx="0">
                  <c:v>48.2</c:v>
                </c:pt>
                <c:pt idx="1">
                  <c:v>34</c:v>
                </c:pt>
                <c:pt idx="2">
                  <c:v>39.700000000000003</c:v>
                </c:pt>
                <c:pt idx="3">
                  <c:v>54.3</c:v>
                </c:pt>
                <c:pt idx="4">
                  <c:v>52.1</c:v>
                </c:pt>
                <c:pt idx="5">
                  <c:v>55.9</c:v>
                </c:pt>
                <c:pt idx="6">
                  <c:v>45.2</c:v>
                </c:pt>
                <c:pt idx="7">
                  <c:v>55.5</c:v>
                </c:pt>
                <c:pt idx="8">
                  <c:v>46.3</c:v>
                </c:pt>
                <c:pt idx="9">
                  <c:v>54.3</c:v>
                </c:pt>
                <c:pt idx="10">
                  <c:v>48.2</c:v>
                </c:pt>
                <c:pt idx="11">
                  <c:v>44.4</c:v>
                </c:pt>
                <c:pt idx="12">
                  <c:v>48.7</c:v>
                </c:pt>
                <c:pt idx="13">
                  <c:v>64.2</c:v>
                </c:pt>
                <c:pt idx="14">
                  <c:v>55.7</c:v>
                </c:pt>
                <c:pt idx="15">
                  <c:v>69.400000000000006</c:v>
                </c:pt>
                <c:pt idx="16" formatCode="0.0">
                  <c:v>72.023809523809518</c:v>
                </c:pt>
                <c:pt idx="17">
                  <c:v>73.8</c:v>
                </c:pt>
                <c:pt idx="18">
                  <c:v>76.400000000000006</c:v>
                </c:pt>
                <c:pt idx="19" formatCode="0.0">
                  <c:v>63.275434243176178</c:v>
                </c:pt>
              </c:numCache>
            </c:numRef>
          </c:val>
          <c:smooth val="0"/>
          <c:extLst xmlns:c16r2="http://schemas.microsoft.com/office/drawing/2015/06/chart">
            <c:ext xmlns:c16="http://schemas.microsoft.com/office/drawing/2014/chart" uri="{C3380CC4-5D6E-409C-BE32-E72D297353CC}">
              <c16:uniqueId val="{00000038-7AA6-4BAF-AD8B-B75659E66A70}"/>
            </c:ext>
          </c:extLst>
        </c:ser>
        <c:dLbls>
          <c:showLegendKey val="0"/>
          <c:showVal val="0"/>
          <c:showCatName val="0"/>
          <c:showSerName val="0"/>
          <c:showPercent val="0"/>
          <c:showBubbleSize val="0"/>
        </c:dLbls>
        <c:marker val="1"/>
        <c:smooth val="0"/>
        <c:axId val="347842048"/>
        <c:axId val="347843584"/>
      </c:lineChart>
      <c:catAx>
        <c:axId val="347842048"/>
        <c:scaling>
          <c:orientation val="minMax"/>
        </c:scaling>
        <c:delete val="0"/>
        <c:axPos val="b"/>
        <c:numFmt formatCode="General" sourceLinked="0"/>
        <c:majorTickMark val="out"/>
        <c:minorTickMark val="none"/>
        <c:tickLblPos val="nextTo"/>
        <c:txPr>
          <a:bodyPr/>
          <a:lstStyle/>
          <a:p>
            <a:pPr>
              <a:defRPr sz="800">
                <a:latin typeface="Calibri" panose="020F0502020204030204" pitchFamily="34" charset="0"/>
              </a:defRPr>
            </a:pPr>
            <a:endParaRPr lang="el-GR"/>
          </a:p>
        </c:txPr>
        <c:crossAx val="347843584"/>
        <c:crosses val="autoZero"/>
        <c:auto val="1"/>
        <c:lblAlgn val="ctr"/>
        <c:lblOffset val="100"/>
        <c:noMultiLvlLbl val="0"/>
      </c:catAx>
      <c:valAx>
        <c:axId val="347843584"/>
        <c:scaling>
          <c:orientation val="minMax"/>
        </c:scaling>
        <c:delete val="0"/>
        <c:axPos val="l"/>
        <c:majorGridlines/>
        <c:numFmt formatCode="General" sourceLinked="1"/>
        <c:majorTickMark val="out"/>
        <c:minorTickMark val="none"/>
        <c:tickLblPos val="nextTo"/>
        <c:txPr>
          <a:bodyPr/>
          <a:lstStyle/>
          <a:p>
            <a:pPr>
              <a:defRPr sz="1200">
                <a:latin typeface="Calibri" panose="020F0502020204030204" pitchFamily="34" charset="0"/>
              </a:defRPr>
            </a:pPr>
            <a:endParaRPr lang="el-GR"/>
          </a:p>
        </c:txPr>
        <c:crossAx val="347842048"/>
        <c:crosses val="autoZero"/>
        <c:crossBetween val="between"/>
      </c:valAx>
    </c:plotArea>
    <c:legend>
      <c:legendPos val="r"/>
      <c:layout>
        <c:manualLayout>
          <c:xMode val="edge"/>
          <c:yMode val="edge"/>
          <c:x val="0.19647353997703959"/>
          <c:y val="4.6355526469281172E-3"/>
          <c:w val="0.42403376646134039"/>
          <c:h val="0.16950916044050662"/>
        </c:manualLayout>
      </c:layout>
      <c:overlay val="0"/>
      <c:txPr>
        <a:bodyPr/>
        <a:lstStyle/>
        <a:p>
          <a:pPr>
            <a:defRPr sz="800">
              <a:latin typeface="Calibri" panose="020F0502020204030204" pitchFamily="34" charset="0"/>
            </a:defRPr>
          </a:pPr>
          <a:endParaRPr lang="el-GR"/>
        </a:p>
      </c:txPr>
    </c:legend>
    <c:plotVisOnly val="1"/>
    <c:dispBlanksAs val="gap"/>
    <c:showDLblsOverMax val="0"/>
  </c:chart>
  <c:txPr>
    <a:bodyPr/>
    <a:lstStyle/>
    <a:p>
      <a:pPr>
        <a:defRPr sz="1800"/>
      </a:pPr>
      <a:endParaRPr lang="el-GR"/>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3675086198047182E-2"/>
          <c:y val="9.1835933160204414E-2"/>
          <c:w val="0.9168670801283515"/>
          <c:h val="0.74713508394900563"/>
        </c:manualLayout>
      </c:layout>
      <c:lineChart>
        <c:grouping val="standard"/>
        <c:varyColors val="0"/>
        <c:ser>
          <c:idx val="0"/>
          <c:order val="0"/>
          <c:tx>
            <c:strRef>
              <c:f>Φύλλο1!$B$1</c:f>
              <c:strCache>
                <c:ptCount val="1"/>
                <c:pt idx="0">
                  <c:v>Αύξηση</c:v>
                </c:pt>
              </c:strCache>
            </c:strRef>
          </c:tx>
          <c:spPr>
            <a:ln>
              <a:solidFill>
                <a:schemeClr val="accent3">
                  <a:lumMod val="75000"/>
                </a:schemeClr>
              </a:solidFill>
            </a:ln>
          </c:spPr>
          <c:marker>
            <c:spPr>
              <a:solidFill>
                <a:schemeClr val="accent3">
                  <a:lumMod val="75000"/>
                </a:schemeClr>
              </a:solidFill>
              <a:ln>
                <a:solidFill>
                  <a:schemeClr val="accent3">
                    <a:lumMod val="75000"/>
                  </a:schemeClr>
                </a:solidFill>
              </a:ln>
            </c:spPr>
          </c:marker>
          <c:dLbls>
            <c:dLbl>
              <c:idx val="0"/>
              <c:layout>
                <c:manualLayout>
                  <c:x val="-2.6192733398950542E-2"/>
                  <c:y val="-3.8580782690812235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E9B5-49B1-8BBA-3EEBA0926C06}"/>
                </c:ext>
              </c:extLst>
            </c:dLbl>
            <c:dLbl>
              <c:idx val="1"/>
              <c:layout>
                <c:manualLayout>
                  <c:x val="-2.6192733398950542E-2"/>
                  <c:y val="-2.7557701922008664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9B5-49B1-8BBA-3EEBA0926C06}"/>
                </c:ext>
              </c:extLst>
            </c:dLbl>
            <c:dLbl>
              <c:idx val="2"/>
              <c:layout>
                <c:manualLayout>
                  <c:x val="-2.7726484991576473E-2"/>
                  <c:y val="-2.7557701922008768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E9B5-49B1-8BBA-3EEBA0926C06}"/>
                </c:ext>
              </c:extLst>
            </c:dLbl>
            <c:dLbl>
              <c:idx val="3"/>
              <c:layout>
                <c:manualLayout>
                  <c:x val="-2.3125230213698698E-2"/>
                  <c:y val="-3.0313472114209532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E9B5-49B1-8BBA-3EEBA0926C06}"/>
                </c:ext>
              </c:extLst>
            </c:dLbl>
            <c:dLbl>
              <c:idx val="4"/>
              <c:layout>
                <c:manualLayout>
                  <c:x val="-2.6192733398950528E-2"/>
                  <c:y val="-3.0313472114209632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E9B5-49B1-8BBA-3EEBA0926C06}"/>
                </c:ext>
              </c:extLst>
            </c:dLbl>
            <c:dLbl>
              <c:idx val="5"/>
              <c:layout>
                <c:manualLayout>
                  <c:x val="-2.6192733398950528E-2"/>
                  <c:y val="-3.0313472114209632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E9B5-49B1-8BBA-3EEBA0926C06}"/>
                </c:ext>
              </c:extLst>
            </c:dLbl>
            <c:dLbl>
              <c:idx val="6"/>
              <c:layout>
                <c:manualLayout>
                  <c:x val="-2.1591478621072781E-2"/>
                  <c:y val="-3.0313472114209532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E9B5-49B1-8BBA-3EEBA0926C06}"/>
                </c:ext>
              </c:extLst>
            </c:dLbl>
            <c:dLbl>
              <c:idx val="7"/>
              <c:layout>
                <c:manualLayout>
                  <c:x val="-2.2300748156780868E-2"/>
                  <c:y val="-2.48019317298077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E9B5-49B1-8BBA-3EEBA0926C06}"/>
                </c:ext>
              </c:extLst>
            </c:dLbl>
            <c:dLbl>
              <c:idx val="8"/>
              <c:layout>
                <c:manualLayout>
                  <c:x val="-2.6192733398950528E-2"/>
                  <c:y val="-3.0313472114209532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E9B5-49B1-8BBA-3EEBA0926C06}"/>
                </c:ext>
              </c:extLst>
            </c:dLbl>
            <c:dLbl>
              <c:idx val="9"/>
              <c:layout>
                <c:manualLayout>
                  <c:x val="-2.6192733398950473E-2"/>
                  <c:y val="3.0313472114209431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E9B5-49B1-8BBA-3EEBA0926C06}"/>
                </c:ext>
              </c:extLst>
            </c:dLbl>
            <c:dLbl>
              <c:idx val="10"/>
              <c:layout>
                <c:manualLayout>
                  <c:x val="-2.1591478621072781E-2"/>
                  <c:y val="1.3778850961004232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E9B5-49B1-8BBA-3EEBA0926C06}"/>
                </c:ext>
              </c:extLst>
            </c:dLbl>
            <c:dLbl>
              <c:idx val="11"/>
              <c:layout>
                <c:manualLayout>
                  <c:x val="-2.4658981806324611E-2"/>
                  <c:y val="2.48019317298077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E9B5-49B1-8BBA-3EEBA0926C06}"/>
                </c:ext>
              </c:extLst>
            </c:dLbl>
            <c:dLbl>
              <c:idx val="12"/>
              <c:layout>
                <c:manualLayout>
                  <c:x val="-2.6192733398950528E-2"/>
                  <c:y val="1.6534621153205097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E9B5-49B1-8BBA-3EEBA0926C06}"/>
                </c:ext>
              </c:extLst>
            </c:dLbl>
            <c:dLbl>
              <c:idx val="13"/>
              <c:layout>
                <c:manualLayout>
                  <c:x val="-2.3125230213698698E-2"/>
                  <c:y val="1.6534621153205198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E9B5-49B1-8BBA-3EEBA0926C06}"/>
                </c:ext>
              </c:extLst>
            </c:dLbl>
            <c:dLbl>
              <c:idx val="14"/>
              <c:layout>
                <c:manualLayout>
                  <c:x val="-2.6192733398950528E-2"/>
                  <c:y val="2.7557701922008664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E9B5-49B1-8BBA-3EEBA0926C06}"/>
                </c:ext>
              </c:extLst>
            </c:dLbl>
            <c:dLbl>
              <c:idx val="15"/>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E9B5-49B1-8BBA-3EEBA0926C06}"/>
                </c:ext>
              </c:extLst>
            </c:dLbl>
            <c:dLbl>
              <c:idx val="16"/>
              <c:layout>
                <c:manualLayout>
                  <c:x val="-2.9260236584202359E-2"/>
                  <c:y val="2.4801931729807901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2B37-4F9A-93EB-7C7B03BAEA3D}"/>
                </c:ext>
              </c:extLst>
            </c:dLbl>
            <c:dLbl>
              <c:idx val="17"/>
              <c:layout>
                <c:manualLayout>
                  <c:x val="-3.0855338240533423E-2"/>
                  <c:y val="-3.30692423064105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2B37-4F9A-93EB-7C7B03BAEA3D}"/>
                </c:ext>
              </c:extLst>
            </c:dLbl>
            <c:dLbl>
              <c:idx val="18"/>
              <c:layout>
                <c:manualLayout>
                  <c:x val="-2.6192733398950414E-2"/>
                  <c:y val="2.7557701922008564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2B37-4F9A-93EB-7C7B03BAEA3D}"/>
                </c:ext>
              </c:extLst>
            </c:dLbl>
            <c:dLbl>
              <c:idx val="19"/>
              <c:layout>
                <c:manualLayout>
                  <c:x val="-2.7690013103310738E-2"/>
                  <c:y val="-2.48019317298078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2BE-4167-9260-30CB75C97342}"/>
                </c:ext>
              </c:extLst>
            </c:dLbl>
            <c:spPr>
              <a:noFill/>
              <a:ln>
                <a:noFill/>
              </a:ln>
              <a:effectLst/>
            </c:spPr>
            <c:txPr>
              <a:bodyPr/>
              <a:lstStyle/>
              <a:p>
                <a:pPr>
                  <a:defRPr sz="800">
                    <a:latin typeface="Calibri" panose="020F0502020204030204" pitchFamily="34" charset="0"/>
                  </a:defRPr>
                </a:pPr>
                <a:endParaRPr lang="el-GR"/>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Φύλλο1!$A$2:$A$21</c:f>
              <c:strCache>
                <c:ptCount val="20"/>
                <c:pt idx="0">
                  <c:v>ΦΕΒΡ. 2010</c:v>
                </c:pt>
                <c:pt idx="1">
                  <c:v>ΙΟΥΛ. 2010</c:v>
                </c:pt>
                <c:pt idx="2">
                  <c:v>ΙΑΝ. 2011</c:v>
                </c:pt>
                <c:pt idx="3">
                  <c:v>ΙΟΥΛ. 2011</c:v>
                </c:pt>
                <c:pt idx="4">
                  <c:v>ΙΑΝ. 2012</c:v>
                </c:pt>
                <c:pt idx="5">
                  <c:v>ΙΟΥΛ. 2012</c:v>
                </c:pt>
                <c:pt idx="6">
                  <c:v>ΙΑΝ. 2013</c:v>
                </c:pt>
                <c:pt idx="7">
                  <c:v>ΙΟΥΛ. 2013</c:v>
                </c:pt>
                <c:pt idx="8">
                  <c:v>ΦΕΒΡ. 2014</c:v>
                </c:pt>
                <c:pt idx="9">
                  <c:v>ΙΟΥΛ. 2014</c:v>
                </c:pt>
                <c:pt idx="10">
                  <c:v>ΦΕΒΡ. 2015</c:v>
                </c:pt>
                <c:pt idx="11">
                  <c:v>ΙΟΥΛ. 2015</c:v>
                </c:pt>
                <c:pt idx="12">
                  <c:v>ΦΕΒΡ. 2016</c:v>
                </c:pt>
                <c:pt idx="13">
                  <c:v>ΙΟΥΛ. 2016</c:v>
                </c:pt>
                <c:pt idx="14">
                  <c:v>ΦΕΒΡ. 2017</c:v>
                </c:pt>
                <c:pt idx="15">
                  <c:v>ΙΟΥΛ. 2017</c:v>
                </c:pt>
                <c:pt idx="16">
                  <c:v>ΦΕΒΡ. 2018</c:v>
                </c:pt>
                <c:pt idx="17">
                  <c:v>ΙΟΥΛ. 2018</c:v>
                </c:pt>
                <c:pt idx="18">
                  <c:v>ΦΕΒΡ. 2019</c:v>
                </c:pt>
                <c:pt idx="19">
                  <c:v>ΙΟΥΛ. 2019</c:v>
                </c:pt>
              </c:strCache>
            </c:strRef>
          </c:cat>
          <c:val>
            <c:numRef>
              <c:f>Φύλλο1!$B$2:$B$21</c:f>
              <c:numCache>
                <c:formatCode>General</c:formatCode>
                <c:ptCount val="20"/>
                <c:pt idx="0">
                  <c:v>2.2000000000000002</c:v>
                </c:pt>
                <c:pt idx="1">
                  <c:v>3.6</c:v>
                </c:pt>
                <c:pt idx="2">
                  <c:v>3.5</c:v>
                </c:pt>
                <c:pt idx="3">
                  <c:v>3.1</c:v>
                </c:pt>
                <c:pt idx="4">
                  <c:v>3.3</c:v>
                </c:pt>
                <c:pt idx="5">
                  <c:v>3.2</c:v>
                </c:pt>
                <c:pt idx="6">
                  <c:v>3.1</c:v>
                </c:pt>
                <c:pt idx="7">
                  <c:v>4</c:v>
                </c:pt>
                <c:pt idx="8">
                  <c:v>5.4</c:v>
                </c:pt>
                <c:pt idx="9">
                  <c:v>5.5</c:v>
                </c:pt>
                <c:pt idx="10">
                  <c:v>5.2</c:v>
                </c:pt>
                <c:pt idx="11">
                  <c:v>4.8</c:v>
                </c:pt>
                <c:pt idx="12">
                  <c:v>3.7</c:v>
                </c:pt>
                <c:pt idx="13">
                  <c:v>5.4</c:v>
                </c:pt>
                <c:pt idx="14">
                  <c:v>4.5999999999999996</c:v>
                </c:pt>
                <c:pt idx="15">
                  <c:v>6.7</c:v>
                </c:pt>
                <c:pt idx="16">
                  <c:v>6.3</c:v>
                </c:pt>
                <c:pt idx="17">
                  <c:v>10.8</c:v>
                </c:pt>
                <c:pt idx="18">
                  <c:v>6.7</c:v>
                </c:pt>
                <c:pt idx="19">
                  <c:v>9.9</c:v>
                </c:pt>
              </c:numCache>
            </c:numRef>
          </c:val>
          <c:smooth val="0"/>
          <c:extLst xmlns:c16r2="http://schemas.microsoft.com/office/drawing/2015/06/chart">
            <c:ext xmlns:c16="http://schemas.microsoft.com/office/drawing/2014/chart" uri="{C3380CC4-5D6E-409C-BE32-E72D297353CC}">
              <c16:uniqueId val="{00000010-E9B5-49B1-8BBA-3EEBA0926C06}"/>
            </c:ext>
          </c:extLst>
        </c:ser>
        <c:ser>
          <c:idx val="1"/>
          <c:order val="1"/>
          <c:tx>
            <c:strRef>
              <c:f>Φύλλο1!$C$1</c:f>
              <c:strCache>
                <c:ptCount val="1"/>
                <c:pt idx="0">
                  <c:v>Μείωση </c:v>
                </c:pt>
              </c:strCache>
            </c:strRef>
          </c:tx>
          <c:spPr>
            <a:ln>
              <a:solidFill>
                <a:schemeClr val="accent2">
                  <a:lumMod val="75000"/>
                </a:schemeClr>
              </a:solidFill>
            </a:ln>
          </c:spPr>
          <c:marker>
            <c:spPr>
              <a:solidFill>
                <a:schemeClr val="accent2">
                  <a:lumMod val="75000"/>
                </a:schemeClr>
              </a:solidFill>
              <a:ln>
                <a:solidFill>
                  <a:schemeClr val="accent2">
                    <a:lumMod val="75000"/>
                  </a:schemeClr>
                </a:solidFill>
              </a:ln>
            </c:spPr>
          </c:marker>
          <c:dLbls>
            <c:dLbl>
              <c:idx val="15"/>
              <c:layout>
                <c:manualLayout>
                  <c:x val="-2.6192733398950528E-2"/>
                  <c:y val="-4.7743610084990555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0-E9B5-49B1-8BBA-3EEBA0926C06}"/>
                </c:ext>
              </c:extLst>
            </c:dLbl>
            <c:dLbl>
              <c:idx val="17"/>
              <c:layout>
                <c:manualLayout>
                  <c:x val="-3.2327739769454189E-2"/>
                  <c:y val="2.6662185104432738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2-E9B5-49B1-8BBA-3EEBA0926C06}"/>
                </c:ext>
              </c:extLst>
            </c:dLbl>
            <c:dLbl>
              <c:idx val="19"/>
              <c:layout>
                <c:manualLayout>
                  <c:x val="-2.9223764695936766E-2"/>
                  <c:y val="3.7685265873236104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02BE-4167-9260-30CB75C97342}"/>
                </c:ext>
              </c:extLst>
            </c:dLbl>
            <c:spPr>
              <a:noFill/>
              <a:ln>
                <a:noFill/>
              </a:ln>
              <a:effectLst/>
            </c:spPr>
            <c:txPr>
              <a:bodyPr/>
              <a:lstStyle/>
              <a:p>
                <a:pPr>
                  <a:defRPr sz="800">
                    <a:latin typeface="Calibri" panose="020F0502020204030204" pitchFamily="34" charset="0"/>
                  </a:defRPr>
                </a:pPr>
                <a:endParaRPr lang="el-GR"/>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Φύλλο1!$A$2:$A$21</c:f>
              <c:strCache>
                <c:ptCount val="20"/>
                <c:pt idx="0">
                  <c:v>ΦΕΒΡ. 2010</c:v>
                </c:pt>
                <c:pt idx="1">
                  <c:v>ΙΟΥΛ. 2010</c:v>
                </c:pt>
                <c:pt idx="2">
                  <c:v>ΙΑΝ. 2011</c:v>
                </c:pt>
                <c:pt idx="3">
                  <c:v>ΙΟΥΛ. 2011</c:v>
                </c:pt>
                <c:pt idx="4">
                  <c:v>ΙΑΝ. 2012</c:v>
                </c:pt>
                <c:pt idx="5">
                  <c:v>ΙΟΥΛ. 2012</c:v>
                </c:pt>
                <c:pt idx="6">
                  <c:v>ΙΑΝ. 2013</c:v>
                </c:pt>
                <c:pt idx="7">
                  <c:v>ΙΟΥΛ. 2013</c:v>
                </c:pt>
                <c:pt idx="8">
                  <c:v>ΦΕΒΡ. 2014</c:v>
                </c:pt>
                <c:pt idx="9">
                  <c:v>ΙΟΥΛ. 2014</c:v>
                </c:pt>
                <c:pt idx="10">
                  <c:v>ΦΕΒΡ. 2015</c:v>
                </c:pt>
                <c:pt idx="11">
                  <c:v>ΙΟΥΛ. 2015</c:v>
                </c:pt>
                <c:pt idx="12">
                  <c:v>ΦΕΒΡ. 2016</c:v>
                </c:pt>
                <c:pt idx="13">
                  <c:v>ΙΟΥΛ. 2016</c:v>
                </c:pt>
                <c:pt idx="14">
                  <c:v>ΦΕΒΡ. 2017</c:v>
                </c:pt>
                <c:pt idx="15">
                  <c:v>ΙΟΥΛ. 2017</c:v>
                </c:pt>
                <c:pt idx="16">
                  <c:v>ΦΕΒΡ. 2018</c:v>
                </c:pt>
                <c:pt idx="17">
                  <c:v>ΙΟΥΛ. 2018</c:v>
                </c:pt>
                <c:pt idx="18">
                  <c:v>ΦΕΒΡ. 2019</c:v>
                </c:pt>
                <c:pt idx="19">
                  <c:v>ΙΟΥΛ. 2019</c:v>
                </c:pt>
              </c:strCache>
            </c:strRef>
          </c:cat>
          <c:val>
            <c:numRef>
              <c:f>Φύλλο1!$C$2:$C$21</c:f>
              <c:numCache>
                <c:formatCode>General</c:formatCode>
                <c:ptCount val="20"/>
                <c:pt idx="0">
                  <c:v>21.1</c:v>
                </c:pt>
                <c:pt idx="1">
                  <c:v>21.9</c:v>
                </c:pt>
                <c:pt idx="2">
                  <c:v>24.1</c:v>
                </c:pt>
                <c:pt idx="3">
                  <c:v>20.399999999999999</c:v>
                </c:pt>
                <c:pt idx="4">
                  <c:v>20.100000000000001</c:v>
                </c:pt>
                <c:pt idx="5">
                  <c:v>18.7</c:v>
                </c:pt>
                <c:pt idx="6">
                  <c:v>16.600000000000001</c:v>
                </c:pt>
                <c:pt idx="7">
                  <c:v>12.3</c:v>
                </c:pt>
                <c:pt idx="8">
                  <c:v>13</c:v>
                </c:pt>
                <c:pt idx="9">
                  <c:v>8.6</c:v>
                </c:pt>
                <c:pt idx="10">
                  <c:v>9.6</c:v>
                </c:pt>
                <c:pt idx="11">
                  <c:v>11</c:v>
                </c:pt>
                <c:pt idx="12">
                  <c:v>10.3</c:v>
                </c:pt>
                <c:pt idx="13">
                  <c:v>6.6</c:v>
                </c:pt>
                <c:pt idx="14">
                  <c:v>9.1999999999999993</c:v>
                </c:pt>
                <c:pt idx="15">
                  <c:v>6.7</c:v>
                </c:pt>
                <c:pt idx="16">
                  <c:v>8.8000000000000007</c:v>
                </c:pt>
                <c:pt idx="17">
                  <c:v>6.1</c:v>
                </c:pt>
                <c:pt idx="18">
                  <c:v>7.9</c:v>
                </c:pt>
                <c:pt idx="19">
                  <c:v>5.8</c:v>
                </c:pt>
              </c:numCache>
            </c:numRef>
          </c:val>
          <c:smooth val="0"/>
          <c:extLst xmlns:c16r2="http://schemas.microsoft.com/office/drawing/2015/06/chart">
            <c:ext xmlns:c16="http://schemas.microsoft.com/office/drawing/2014/chart" uri="{C3380CC4-5D6E-409C-BE32-E72D297353CC}">
              <c16:uniqueId val="{00000023-E9B5-49B1-8BBA-3EEBA0926C06}"/>
            </c:ext>
          </c:extLst>
        </c:ser>
        <c:ser>
          <c:idx val="2"/>
          <c:order val="2"/>
          <c:tx>
            <c:strRef>
              <c:f>Φύλλο1!$D$1</c:f>
              <c:strCache>
                <c:ptCount val="1"/>
                <c:pt idx="0">
                  <c:v>Σταθεροποίηση</c:v>
                </c:pt>
              </c:strCache>
            </c:strRef>
          </c:tx>
          <c:spPr>
            <a:ln>
              <a:solidFill>
                <a:schemeClr val="accent1">
                  <a:lumMod val="75000"/>
                </a:schemeClr>
              </a:solidFill>
            </a:ln>
          </c:spPr>
          <c:marker>
            <c:spPr>
              <a:solidFill>
                <a:schemeClr val="accent1">
                  <a:lumMod val="75000"/>
                </a:schemeClr>
              </a:solidFill>
              <a:ln>
                <a:solidFill>
                  <a:schemeClr val="accent1">
                    <a:lumMod val="75000"/>
                  </a:schemeClr>
                </a:solidFill>
              </a:ln>
            </c:spPr>
          </c:marker>
          <c:dLbls>
            <c:spPr>
              <a:noFill/>
              <a:ln>
                <a:noFill/>
              </a:ln>
              <a:effectLst/>
            </c:spPr>
            <c:txPr>
              <a:bodyPr/>
              <a:lstStyle/>
              <a:p>
                <a:pPr algn="ctr">
                  <a:defRPr lang="el-GR" sz="800" b="0" i="0" u="none" strike="noStrike" kern="1200" baseline="0">
                    <a:solidFill>
                      <a:prstClr val="black"/>
                    </a:solidFill>
                    <a:latin typeface="Calibri" panose="020F0502020204030204" pitchFamily="34" charset="0"/>
                    <a:ea typeface="+mn-ea"/>
                    <a:cs typeface="+mn-cs"/>
                  </a:defRPr>
                </a:pPr>
                <a:endParaRPr lang="el-GR"/>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Φύλλο1!$A$2:$A$21</c:f>
              <c:strCache>
                <c:ptCount val="20"/>
                <c:pt idx="0">
                  <c:v>ΦΕΒΡ. 2010</c:v>
                </c:pt>
                <c:pt idx="1">
                  <c:v>ΙΟΥΛ. 2010</c:v>
                </c:pt>
                <c:pt idx="2">
                  <c:v>ΙΑΝ. 2011</c:v>
                </c:pt>
                <c:pt idx="3">
                  <c:v>ΙΟΥΛ. 2011</c:v>
                </c:pt>
                <c:pt idx="4">
                  <c:v>ΙΑΝ. 2012</c:v>
                </c:pt>
                <c:pt idx="5">
                  <c:v>ΙΟΥΛ. 2012</c:v>
                </c:pt>
                <c:pt idx="6">
                  <c:v>ΙΑΝ. 2013</c:v>
                </c:pt>
                <c:pt idx="7">
                  <c:v>ΙΟΥΛ. 2013</c:v>
                </c:pt>
                <c:pt idx="8">
                  <c:v>ΦΕΒΡ. 2014</c:v>
                </c:pt>
                <c:pt idx="9">
                  <c:v>ΙΟΥΛ. 2014</c:v>
                </c:pt>
                <c:pt idx="10">
                  <c:v>ΦΕΒΡ. 2015</c:v>
                </c:pt>
                <c:pt idx="11">
                  <c:v>ΙΟΥΛ. 2015</c:v>
                </c:pt>
                <c:pt idx="12">
                  <c:v>ΦΕΒΡ. 2016</c:v>
                </c:pt>
                <c:pt idx="13">
                  <c:v>ΙΟΥΛ. 2016</c:v>
                </c:pt>
                <c:pt idx="14">
                  <c:v>ΦΕΒΡ. 2017</c:v>
                </c:pt>
                <c:pt idx="15">
                  <c:v>ΙΟΥΛ. 2017</c:v>
                </c:pt>
                <c:pt idx="16">
                  <c:v>ΦΕΒΡ. 2018</c:v>
                </c:pt>
                <c:pt idx="17">
                  <c:v>ΙΟΥΛ. 2018</c:v>
                </c:pt>
                <c:pt idx="18">
                  <c:v>ΦΕΒΡ. 2019</c:v>
                </c:pt>
                <c:pt idx="19">
                  <c:v>ΙΟΥΛ. 2019</c:v>
                </c:pt>
              </c:strCache>
            </c:strRef>
          </c:cat>
          <c:val>
            <c:numRef>
              <c:f>Φύλλο1!$D$2:$D$21</c:f>
              <c:numCache>
                <c:formatCode>General</c:formatCode>
                <c:ptCount val="20"/>
                <c:pt idx="0">
                  <c:v>75</c:v>
                </c:pt>
                <c:pt idx="1">
                  <c:v>73.2</c:v>
                </c:pt>
                <c:pt idx="2">
                  <c:v>70.5</c:v>
                </c:pt>
                <c:pt idx="3">
                  <c:v>74.599999999999994</c:v>
                </c:pt>
                <c:pt idx="4">
                  <c:v>73.900000000000006</c:v>
                </c:pt>
                <c:pt idx="5">
                  <c:v>75.599999999999994</c:v>
                </c:pt>
                <c:pt idx="6">
                  <c:v>79.900000000000006</c:v>
                </c:pt>
                <c:pt idx="7">
                  <c:v>80.900000000000006</c:v>
                </c:pt>
                <c:pt idx="8">
                  <c:v>81.3</c:v>
                </c:pt>
                <c:pt idx="9">
                  <c:v>85.8</c:v>
                </c:pt>
                <c:pt idx="10">
                  <c:v>84.2</c:v>
                </c:pt>
                <c:pt idx="11">
                  <c:v>82.6</c:v>
                </c:pt>
                <c:pt idx="12">
                  <c:v>85.7</c:v>
                </c:pt>
                <c:pt idx="13">
                  <c:v>87.9</c:v>
                </c:pt>
                <c:pt idx="14">
                  <c:v>83.3</c:v>
                </c:pt>
                <c:pt idx="15">
                  <c:v>86.2</c:v>
                </c:pt>
                <c:pt idx="16">
                  <c:v>84.7</c:v>
                </c:pt>
                <c:pt idx="17">
                  <c:v>82.6</c:v>
                </c:pt>
                <c:pt idx="18">
                  <c:v>85</c:v>
                </c:pt>
                <c:pt idx="19">
                  <c:v>83.6</c:v>
                </c:pt>
              </c:numCache>
            </c:numRef>
          </c:val>
          <c:smooth val="0"/>
          <c:extLst xmlns:c16r2="http://schemas.microsoft.com/office/drawing/2015/06/chart">
            <c:ext xmlns:c16="http://schemas.microsoft.com/office/drawing/2014/chart" uri="{C3380CC4-5D6E-409C-BE32-E72D297353CC}">
              <c16:uniqueId val="{00000034-E9B5-49B1-8BBA-3EEBA0926C06}"/>
            </c:ext>
          </c:extLst>
        </c:ser>
        <c:dLbls>
          <c:showLegendKey val="0"/>
          <c:showVal val="0"/>
          <c:showCatName val="0"/>
          <c:showSerName val="0"/>
          <c:showPercent val="0"/>
          <c:showBubbleSize val="0"/>
        </c:dLbls>
        <c:marker val="1"/>
        <c:smooth val="0"/>
        <c:axId val="348262784"/>
        <c:axId val="348326912"/>
      </c:lineChart>
      <c:catAx>
        <c:axId val="348262784"/>
        <c:scaling>
          <c:orientation val="minMax"/>
        </c:scaling>
        <c:delete val="0"/>
        <c:axPos val="b"/>
        <c:numFmt formatCode="General" sourceLinked="0"/>
        <c:majorTickMark val="out"/>
        <c:minorTickMark val="none"/>
        <c:tickLblPos val="nextTo"/>
        <c:txPr>
          <a:bodyPr/>
          <a:lstStyle/>
          <a:p>
            <a:pPr>
              <a:defRPr sz="800">
                <a:latin typeface="Calibri" panose="020F0502020204030204" pitchFamily="34" charset="0"/>
              </a:defRPr>
            </a:pPr>
            <a:endParaRPr lang="el-GR"/>
          </a:p>
        </c:txPr>
        <c:crossAx val="348326912"/>
        <c:crosses val="autoZero"/>
        <c:auto val="1"/>
        <c:lblAlgn val="ctr"/>
        <c:lblOffset val="100"/>
        <c:noMultiLvlLbl val="0"/>
      </c:catAx>
      <c:valAx>
        <c:axId val="348326912"/>
        <c:scaling>
          <c:orientation val="minMax"/>
        </c:scaling>
        <c:delete val="0"/>
        <c:axPos val="l"/>
        <c:majorGridlines/>
        <c:numFmt formatCode="General" sourceLinked="1"/>
        <c:majorTickMark val="out"/>
        <c:minorTickMark val="none"/>
        <c:tickLblPos val="nextTo"/>
        <c:txPr>
          <a:bodyPr/>
          <a:lstStyle/>
          <a:p>
            <a:pPr>
              <a:defRPr sz="1200">
                <a:latin typeface="Calibri" panose="020F0502020204030204" pitchFamily="34" charset="0"/>
              </a:defRPr>
            </a:pPr>
            <a:endParaRPr lang="el-GR"/>
          </a:p>
        </c:txPr>
        <c:crossAx val="348262784"/>
        <c:crosses val="autoZero"/>
        <c:crossBetween val="between"/>
      </c:valAx>
    </c:plotArea>
    <c:legend>
      <c:legendPos val="r"/>
      <c:layout>
        <c:manualLayout>
          <c:xMode val="edge"/>
          <c:yMode val="edge"/>
          <c:x val="0.25699241478615664"/>
          <c:y val="4.6355526469281172E-3"/>
          <c:w val="0.43820055915510819"/>
          <c:h val="0.10612644601988667"/>
        </c:manualLayout>
      </c:layout>
      <c:overlay val="0"/>
      <c:txPr>
        <a:bodyPr/>
        <a:lstStyle/>
        <a:p>
          <a:pPr>
            <a:defRPr sz="800">
              <a:latin typeface="Calibri" panose="020F0502020204030204" pitchFamily="34" charset="0"/>
            </a:defRPr>
          </a:pPr>
          <a:endParaRPr lang="el-GR"/>
        </a:p>
      </c:txPr>
    </c:legend>
    <c:plotVisOnly val="1"/>
    <c:dispBlanksAs val="gap"/>
    <c:showDLblsOverMax val="0"/>
  </c:chart>
  <c:txPr>
    <a:bodyPr/>
    <a:lstStyle/>
    <a:p>
      <a:pPr>
        <a:defRPr sz="1800"/>
      </a:pPr>
      <a:endParaRPr lang="el-GR"/>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'ΑΠΑΣΧΟΛΗΣΗ ΔΕΙΚΤΗΣ'!#REF!</c:f>
              <c:strCache>
                <c:ptCount val="1"/>
                <c:pt idx="0">
                  <c:v>#REF!</c:v>
                </c:pt>
              </c:strCache>
            </c:strRef>
          </c:tx>
          <c:dLbls>
            <c:dLbl>
              <c:idx val="1"/>
              <c:layout>
                <c:manualLayout>
                  <c:x val="-2.9211360637798087E-2"/>
                  <c:y val="4.7268495490507073E-2"/>
                </c:manualLayout>
              </c:layout>
              <c:dLblPos val="r"/>
              <c:showLegendKey val="0"/>
              <c:showVal val="1"/>
              <c:showCatName val="0"/>
              <c:showSerName val="0"/>
              <c:showPercent val="0"/>
              <c:showBubbleSize val="0"/>
            </c:dLbl>
            <c:dLbl>
              <c:idx val="4"/>
              <c:layout>
                <c:manualLayout>
                  <c:x val="-3.6356910370126561E-2"/>
                  <c:y val="4.3295511779740288E-2"/>
                </c:manualLayout>
              </c:layout>
              <c:dLblPos val="r"/>
              <c:showLegendKey val="0"/>
              <c:showVal val="1"/>
              <c:showCatName val="0"/>
              <c:showSerName val="0"/>
              <c:showPercent val="0"/>
              <c:showBubbleSize val="0"/>
            </c:dLbl>
            <c:dLbl>
              <c:idx val="5"/>
              <c:layout>
                <c:manualLayout>
                  <c:x val="-3.0997712906465469E-2"/>
                  <c:y val="4.3295511779740288E-2"/>
                </c:manualLayout>
              </c:layout>
              <c:dLblPos val="r"/>
              <c:showLegendKey val="0"/>
              <c:showVal val="1"/>
              <c:showCatName val="0"/>
              <c:showSerName val="0"/>
              <c:showPercent val="0"/>
              <c:showBubbleSize val="0"/>
            </c:dLbl>
            <c:dLbl>
              <c:idx val="7"/>
              <c:layout>
                <c:manualLayout>
                  <c:x val="-2.5638656100463328E-2"/>
                  <c:y val="3.1376560647439926E-2"/>
                </c:manualLayout>
              </c:layout>
              <c:dLblPos val="r"/>
              <c:showLegendKey val="0"/>
              <c:showVal val="1"/>
              <c:showCatName val="0"/>
              <c:showSerName val="0"/>
              <c:showPercent val="0"/>
              <c:showBubbleSize val="0"/>
            </c:dLbl>
            <c:dLbl>
              <c:idx val="12"/>
              <c:layout>
                <c:manualLayout>
                  <c:x val="-3.0997712906465469E-2"/>
                  <c:y val="4.3295511779740288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'ΑΠΑΣΧΟΛΗΣΗ ΔΕΙΚΤΗΣ'!$B$2:$W$2</c:f>
              <c:strCache>
                <c:ptCount val="22"/>
                <c:pt idx="0">
                  <c:v>2009Α</c:v>
                </c:pt>
                <c:pt idx="1">
                  <c:v>2009Β</c:v>
                </c:pt>
                <c:pt idx="2">
                  <c:v>2010Α</c:v>
                </c:pt>
                <c:pt idx="3">
                  <c:v>2010Β</c:v>
                </c:pt>
                <c:pt idx="4">
                  <c:v>2011Α</c:v>
                </c:pt>
                <c:pt idx="5">
                  <c:v>2011Β</c:v>
                </c:pt>
                <c:pt idx="6">
                  <c:v>2012Α</c:v>
                </c:pt>
                <c:pt idx="7">
                  <c:v>2012Β</c:v>
                </c:pt>
                <c:pt idx="8">
                  <c:v>2013Α</c:v>
                </c:pt>
                <c:pt idx="9">
                  <c:v>2013Β</c:v>
                </c:pt>
                <c:pt idx="10">
                  <c:v>2014Α</c:v>
                </c:pt>
                <c:pt idx="11">
                  <c:v>2014Β</c:v>
                </c:pt>
                <c:pt idx="12">
                  <c:v>2015Α</c:v>
                </c:pt>
                <c:pt idx="13">
                  <c:v>2015Β</c:v>
                </c:pt>
                <c:pt idx="14">
                  <c:v>2016Α</c:v>
                </c:pt>
                <c:pt idx="15">
                  <c:v>2016Β</c:v>
                </c:pt>
                <c:pt idx="16">
                  <c:v>2017Α</c:v>
                </c:pt>
                <c:pt idx="17">
                  <c:v>2017Β</c:v>
                </c:pt>
                <c:pt idx="18">
                  <c:v>2018Α</c:v>
                </c:pt>
                <c:pt idx="19">
                  <c:v>2018Β</c:v>
                </c:pt>
                <c:pt idx="20">
                  <c:v>2019Α</c:v>
                </c:pt>
                <c:pt idx="21">
                  <c:v>2019Β</c:v>
                </c:pt>
              </c:strCache>
            </c:strRef>
          </c:cat>
          <c:val>
            <c:numRef>
              <c:f>'ΑΠΑΣΧΟΛΗΣΗ ΔΕΙΚΤΗΣ'!#REF!</c:f>
              <c:numCache>
                <c:formatCode>General</c:formatCode>
                <c:ptCount val="1"/>
                <c:pt idx="0">
                  <c:v>1</c:v>
                </c:pt>
              </c:numCache>
            </c:numRef>
          </c:val>
          <c:smooth val="0"/>
        </c:ser>
        <c:ser>
          <c:idx val="1"/>
          <c:order val="1"/>
          <c:tx>
            <c:strRef>
              <c:f>'ΑΠΑΣΧΟΛΗΣΗ ΔΕΙΚΤΗΣ'!$A$3</c:f>
              <c:strCache>
                <c:ptCount val="1"/>
                <c:pt idx="0">
                  <c:v>ΠΡΟΒΛΕΨΗ (T+1)</c:v>
                </c:pt>
              </c:strCache>
            </c:strRef>
          </c:tx>
          <c:dLbls>
            <c:dLbl>
              <c:idx val="1"/>
              <c:layout>
                <c:manualLayout>
                  <c:x val="-3.2784065175132854E-2"/>
                  <c:y val="-5.5214462912040643E-2"/>
                </c:manualLayout>
              </c:layout>
              <c:dLblPos val="r"/>
              <c:showLegendKey val="0"/>
              <c:showVal val="1"/>
              <c:showCatName val="0"/>
              <c:showSerName val="0"/>
              <c:showPercent val="0"/>
              <c:showBubbleSize val="0"/>
            </c:dLbl>
            <c:dLbl>
              <c:idx val="2"/>
              <c:layout>
                <c:manualLayout>
                  <c:x val="-3.0997712906465469E-2"/>
                  <c:y val="-5.9187446622807428E-2"/>
                </c:manualLayout>
              </c:layout>
              <c:dLblPos val="r"/>
              <c:showLegendKey val="0"/>
              <c:showVal val="1"/>
              <c:showCatName val="0"/>
              <c:showSerName val="0"/>
              <c:showPercent val="0"/>
              <c:showBubbleSize val="0"/>
            </c:dLbl>
            <c:dLbl>
              <c:idx val="4"/>
              <c:layout>
                <c:manualLayout>
                  <c:x val="-3.4570417443800266E-2"/>
                  <c:y val="-6.3160430333574213E-2"/>
                </c:manualLayout>
              </c:layout>
              <c:dLblPos val="r"/>
              <c:showLegendKey val="0"/>
              <c:showVal val="1"/>
              <c:showCatName val="0"/>
              <c:showSerName val="0"/>
              <c:showPercent val="0"/>
              <c:showBubbleSize val="0"/>
            </c:dLbl>
            <c:dLbl>
              <c:idx val="5"/>
              <c:layout>
                <c:manualLayout>
                  <c:x val="-2.7425008369130706E-2"/>
                  <c:y val="-5.1241479201273858E-2"/>
                </c:manualLayout>
              </c:layout>
              <c:dLblPos val="r"/>
              <c:showLegendKey val="0"/>
              <c:showVal val="1"/>
              <c:showCatName val="0"/>
              <c:showSerName val="0"/>
              <c:showPercent val="0"/>
              <c:showBubbleSize val="0"/>
            </c:dLbl>
            <c:dLbl>
              <c:idx val="7"/>
              <c:layout>
                <c:manualLayout>
                  <c:x val="-3.6356769712467617E-2"/>
                  <c:y val="-4.7268495490507073E-2"/>
                </c:manualLayout>
              </c:layout>
              <c:dLblPos val="r"/>
              <c:showLegendKey val="0"/>
              <c:showVal val="1"/>
              <c:showCatName val="0"/>
              <c:showSerName val="0"/>
              <c:showPercent val="0"/>
              <c:showBubbleSize val="0"/>
            </c:dLbl>
            <c:dLbl>
              <c:idx val="12"/>
              <c:layout>
                <c:manualLayout>
                  <c:x val="-3.5526045578707872E-2"/>
                  <c:y val="-4.7268495490507087E-2"/>
                </c:manualLayout>
              </c:layout>
              <c:dLblPos val="r"/>
              <c:showLegendKey val="0"/>
              <c:showVal val="1"/>
              <c:showCatName val="0"/>
              <c:showSerName val="0"/>
              <c:showPercent val="0"/>
              <c:showBubbleSize val="0"/>
            </c:dLbl>
            <c:dLblPos val="b"/>
            <c:showLegendKey val="0"/>
            <c:showVal val="1"/>
            <c:showCatName val="0"/>
            <c:showSerName val="0"/>
            <c:showPercent val="0"/>
            <c:showBubbleSize val="0"/>
            <c:showLeaderLines val="0"/>
          </c:dLbls>
          <c:cat>
            <c:strRef>
              <c:f>'ΑΠΑΣΧΟΛΗΣΗ ΔΕΙΚΤΗΣ'!$B$2:$W$2</c:f>
              <c:strCache>
                <c:ptCount val="22"/>
                <c:pt idx="0">
                  <c:v>2009Α</c:v>
                </c:pt>
                <c:pt idx="1">
                  <c:v>2009Β</c:v>
                </c:pt>
                <c:pt idx="2">
                  <c:v>2010Α</c:v>
                </c:pt>
                <c:pt idx="3">
                  <c:v>2010Β</c:v>
                </c:pt>
                <c:pt idx="4">
                  <c:v>2011Α</c:v>
                </c:pt>
                <c:pt idx="5">
                  <c:v>2011Β</c:v>
                </c:pt>
                <c:pt idx="6">
                  <c:v>2012Α</c:v>
                </c:pt>
                <c:pt idx="7">
                  <c:v>2012Β</c:v>
                </c:pt>
                <c:pt idx="8">
                  <c:v>2013Α</c:v>
                </c:pt>
                <c:pt idx="9">
                  <c:v>2013Β</c:v>
                </c:pt>
                <c:pt idx="10">
                  <c:v>2014Α</c:v>
                </c:pt>
                <c:pt idx="11">
                  <c:v>2014Β</c:v>
                </c:pt>
                <c:pt idx="12">
                  <c:v>2015Α</c:v>
                </c:pt>
                <c:pt idx="13">
                  <c:v>2015Β</c:v>
                </c:pt>
                <c:pt idx="14">
                  <c:v>2016Α</c:v>
                </c:pt>
                <c:pt idx="15">
                  <c:v>2016Β</c:v>
                </c:pt>
                <c:pt idx="16">
                  <c:v>2017Α</c:v>
                </c:pt>
                <c:pt idx="17">
                  <c:v>2017Β</c:v>
                </c:pt>
                <c:pt idx="18">
                  <c:v>2018Α</c:v>
                </c:pt>
                <c:pt idx="19">
                  <c:v>2018Β</c:v>
                </c:pt>
                <c:pt idx="20">
                  <c:v>2019Α</c:v>
                </c:pt>
                <c:pt idx="21">
                  <c:v>2019Β</c:v>
                </c:pt>
              </c:strCache>
            </c:strRef>
          </c:cat>
          <c:val>
            <c:numRef>
              <c:f>'ΑΠΑΣΧΟΛΗΣΗ ΔΕΙΚΤΗΣ'!$B$3:$W$3</c:f>
              <c:numCache>
                <c:formatCode>0.0</c:formatCode>
                <c:ptCount val="22"/>
                <c:pt idx="1">
                  <c:v>81.233933161953729</c:v>
                </c:pt>
                <c:pt idx="2">
                  <c:v>88.762886597938149</c:v>
                </c:pt>
                <c:pt idx="3">
                  <c:v>78.215527230590965</c:v>
                </c:pt>
                <c:pt idx="4">
                  <c:v>85.130890052356023</c:v>
                </c:pt>
                <c:pt idx="5">
                  <c:v>84.607329842931932</c:v>
                </c:pt>
                <c:pt idx="6">
                  <c:v>83.07692307692308</c:v>
                </c:pt>
                <c:pt idx="7">
                  <c:v>88.735387885228477</c:v>
                </c:pt>
                <c:pt idx="8">
                  <c:v>90.417940876656473</c:v>
                </c:pt>
                <c:pt idx="9">
                  <c:v>85.412262156448207</c:v>
                </c:pt>
                <c:pt idx="10">
                  <c:v>95.07692307692308</c:v>
                </c:pt>
                <c:pt idx="11">
                  <c:v>92.520491803278688</c:v>
                </c:pt>
                <c:pt idx="12">
                  <c:v>100.51706308169597</c:v>
                </c:pt>
                <c:pt idx="13">
                  <c:v>83.66492146596859</c:v>
                </c:pt>
                <c:pt idx="14">
                  <c:v>95.611285266457685</c:v>
                </c:pt>
                <c:pt idx="15">
                  <c:v>92.930327868852459</c:v>
                </c:pt>
                <c:pt idx="16">
                  <c:v>97.542735042735046</c:v>
                </c:pt>
                <c:pt idx="17">
                  <c:v>95.910020449897758</c:v>
                </c:pt>
                <c:pt idx="18">
                  <c:v>102.15163934426229</c:v>
                </c:pt>
                <c:pt idx="19">
                  <c:v>97.515527950310556</c:v>
                </c:pt>
                <c:pt idx="20">
                  <c:v>103.94337714863498</c:v>
                </c:pt>
                <c:pt idx="21">
                  <c:v>100.20533880903491</c:v>
                </c:pt>
              </c:numCache>
            </c:numRef>
          </c:val>
          <c:smooth val="0"/>
        </c:ser>
        <c:dLbls>
          <c:showLegendKey val="0"/>
          <c:showVal val="0"/>
          <c:showCatName val="0"/>
          <c:showSerName val="0"/>
          <c:showPercent val="0"/>
          <c:showBubbleSize val="0"/>
        </c:dLbls>
        <c:marker val="1"/>
        <c:smooth val="0"/>
        <c:axId val="348285952"/>
        <c:axId val="348742400"/>
      </c:lineChart>
      <c:catAx>
        <c:axId val="348285952"/>
        <c:scaling>
          <c:orientation val="minMax"/>
        </c:scaling>
        <c:delete val="0"/>
        <c:axPos val="b"/>
        <c:majorTickMark val="out"/>
        <c:minorTickMark val="none"/>
        <c:tickLblPos val="nextTo"/>
        <c:crossAx val="348742400"/>
        <c:crosses val="autoZero"/>
        <c:auto val="1"/>
        <c:lblAlgn val="ctr"/>
        <c:lblOffset val="100"/>
        <c:noMultiLvlLbl val="0"/>
      </c:catAx>
      <c:valAx>
        <c:axId val="348742400"/>
        <c:scaling>
          <c:orientation val="minMax"/>
          <c:min val="70"/>
        </c:scaling>
        <c:delete val="0"/>
        <c:axPos val="l"/>
        <c:majorGridlines/>
        <c:numFmt formatCode="General" sourceLinked="1"/>
        <c:majorTickMark val="out"/>
        <c:minorTickMark val="none"/>
        <c:tickLblPos val="nextTo"/>
        <c:crossAx val="348285952"/>
        <c:crosses val="autoZero"/>
        <c:crossBetween val="between"/>
        <c:majorUnit val="5"/>
        <c:minorUnit val="5"/>
      </c:valAx>
    </c:plotArea>
    <c:plotVisOnly val="1"/>
    <c:dispBlanksAs val="gap"/>
    <c:showDLblsOverMax val="0"/>
  </c:chart>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3125000000000001"/>
          <c:y val="0.14687500000000001"/>
          <c:w val="0.53749999999999998"/>
          <c:h val="0.80625000000000002"/>
        </c:manualLayout>
      </c:layout>
      <c:doughnutChart>
        <c:varyColors val="1"/>
        <c:ser>
          <c:idx val="0"/>
          <c:order val="0"/>
          <c:tx>
            <c:strRef>
              <c:f>Φύλλο1!$B$1</c:f>
              <c:strCache>
                <c:ptCount val="1"/>
                <c:pt idx="0">
                  <c:v>Πωλήσεις</c:v>
                </c:pt>
              </c:strCache>
            </c:strRef>
          </c:tx>
          <c:spPr>
            <a:ln>
              <a:solidFill>
                <a:schemeClr val="bg1"/>
              </a:solidFill>
            </a:ln>
          </c:spPr>
          <c:dPt>
            <c:idx val="0"/>
            <c:bubble3D val="0"/>
            <c:spPr>
              <a:solidFill>
                <a:schemeClr val="accent3">
                  <a:lumMod val="50000"/>
                </a:schemeClr>
              </a:solidFill>
              <a:ln>
                <a:solidFill>
                  <a:schemeClr val="bg1"/>
                </a:solidFill>
              </a:ln>
            </c:spPr>
            <c:extLst xmlns:c16r2="http://schemas.microsoft.com/office/drawing/2015/06/chart">
              <c:ext xmlns:c16="http://schemas.microsoft.com/office/drawing/2014/chart" uri="{C3380CC4-5D6E-409C-BE32-E72D297353CC}">
                <c16:uniqueId val="{00000001-F022-490B-B6B7-0BAEAA2E7E79}"/>
              </c:ext>
            </c:extLst>
          </c:dPt>
          <c:dPt>
            <c:idx val="1"/>
            <c:bubble3D val="0"/>
            <c:spPr>
              <a:solidFill>
                <a:schemeClr val="accent2">
                  <a:lumMod val="75000"/>
                </a:schemeClr>
              </a:solidFill>
              <a:ln>
                <a:solidFill>
                  <a:schemeClr val="bg1"/>
                </a:solidFill>
              </a:ln>
            </c:spPr>
            <c:extLst xmlns:c16r2="http://schemas.microsoft.com/office/drawing/2015/06/chart">
              <c:ext xmlns:c16="http://schemas.microsoft.com/office/drawing/2014/chart" uri="{C3380CC4-5D6E-409C-BE32-E72D297353CC}">
                <c16:uniqueId val="{00000003-F022-490B-B6B7-0BAEAA2E7E79}"/>
              </c:ext>
            </c:extLst>
          </c:dPt>
          <c:dPt>
            <c:idx val="2"/>
            <c:bubble3D val="0"/>
            <c:spPr>
              <a:solidFill>
                <a:schemeClr val="tx1">
                  <a:lumMod val="50000"/>
                  <a:lumOff val="50000"/>
                </a:schemeClr>
              </a:solidFill>
              <a:ln>
                <a:solidFill>
                  <a:schemeClr val="bg1"/>
                </a:solidFill>
              </a:ln>
            </c:spPr>
            <c:extLst xmlns:c16r2="http://schemas.microsoft.com/office/drawing/2015/06/chart">
              <c:ext xmlns:c16="http://schemas.microsoft.com/office/drawing/2014/chart" uri="{C3380CC4-5D6E-409C-BE32-E72D297353CC}">
                <c16:uniqueId val="{00000005-F022-490B-B6B7-0BAEAA2E7E79}"/>
              </c:ext>
            </c:extLst>
          </c:dPt>
          <c:dLbls>
            <c:dLbl>
              <c:idx val="0"/>
              <c:layout>
                <c:manualLayout>
                  <c:x val="6.8750000000000019E-2"/>
                  <c:y val="-0.25609891732283535"/>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F022-490B-B6B7-0BAEAA2E7E79}"/>
                </c:ext>
              </c:extLst>
            </c:dLbl>
            <c:dLbl>
              <c:idx val="1"/>
              <c:layout>
                <c:manualLayout>
                  <c:x val="-0.18541666666666748"/>
                  <c:y val="-0.16875024606299319"/>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F022-490B-B6B7-0BAEAA2E7E79}"/>
                </c:ext>
              </c:extLst>
            </c:dLbl>
            <c:dLbl>
              <c:idx val="2"/>
              <c:layout>
                <c:manualLayout>
                  <c:x val="-1.0416666666666666E-2"/>
                  <c:y val="-0.15625000000000044"/>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F022-490B-B6B7-0BAEAA2E7E79}"/>
                </c:ext>
              </c:extLst>
            </c:dLbl>
            <c:dLbl>
              <c:idx val="3"/>
              <c:layout>
                <c:manualLayout>
                  <c:x val="-9.1666666666667701E-2"/>
                  <c:y val="-0.14375000000000004"/>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F022-490B-B6B7-0BAEAA2E7E79}"/>
                </c:ext>
              </c:extLst>
            </c:dLbl>
            <c:spPr>
              <a:noFill/>
              <a:ln>
                <a:noFill/>
              </a:ln>
              <a:effectLst/>
            </c:spPr>
            <c:txPr>
              <a:bodyPr/>
              <a:lstStyle/>
              <a:p>
                <a:pPr>
                  <a:defRPr sz="800">
                    <a:latin typeface="Calibri" panose="020F0502020204030204" pitchFamily="34" charset="0"/>
                  </a:defRPr>
                </a:pPr>
                <a:endParaRPr lang="el-GR"/>
              </a:p>
            </c:txPr>
            <c:showLegendKey val="0"/>
            <c:showVal val="1"/>
            <c:showCatName val="1"/>
            <c:showSerName val="0"/>
            <c:showPercent val="0"/>
            <c:showBubbleSize val="0"/>
            <c:separator>
</c:separator>
            <c:showLeaderLines val="1"/>
            <c:extLst xmlns:c16r2="http://schemas.microsoft.com/office/drawing/2015/06/chart">
              <c:ext xmlns:c15="http://schemas.microsoft.com/office/drawing/2012/chart" uri="{CE6537A1-D6FC-4f65-9D91-7224C49458BB}"/>
            </c:extLst>
          </c:dLbls>
          <c:cat>
            <c:strRef>
              <c:f>Φύλλο1!$A$2:$A$4</c:f>
              <c:strCache>
                <c:ptCount val="3"/>
                <c:pt idx="0">
                  <c:v>Ναι</c:v>
                </c:pt>
                <c:pt idx="1">
                  <c:v>Όχι</c:v>
                </c:pt>
                <c:pt idx="2">
                  <c:v>ΔΑ</c:v>
                </c:pt>
              </c:strCache>
            </c:strRef>
          </c:cat>
          <c:val>
            <c:numRef>
              <c:f>Φύλλο1!$B$2:$B$4</c:f>
              <c:numCache>
                <c:formatCode>0.0</c:formatCode>
                <c:ptCount val="3"/>
                <c:pt idx="0">
                  <c:v>38.5</c:v>
                </c:pt>
                <c:pt idx="1">
                  <c:v>61.4</c:v>
                </c:pt>
                <c:pt idx="2">
                  <c:v>0.1</c:v>
                </c:pt>
              </c:numCache>
            </c:numRef>
          </c:val>
          <c:extLst xmlns:c16r2="http://schemas.microsoft.com/office/drawing/2015/06/chart">
            <c:ext xmlns:c16="http://schemas.microsoft.com/office/drawing/2014/chart" uri="{C3380CC4-5D6E-409C-BE32-E72D297353CC}">
              <c16:uniqueId val="{00000007-F022-490B-B6B7-0BAEAA2E7E79}"/>
            </c:ext>
          </c:extLst>
        </c:ser>
        <c:dLbls>
          <c:showLegendKey val="0"/>
          <c:showVal val="0"/>
          <c:showCatName val="0"/>
          <c:showSerName val="0"/>
          <c:showPercent val="0"/>
          <c:showBubbleSize val="0"/>
          <c:showLeaderLines val="1"/>
        </c:dLbls>
        <c:firstSliceAng val="0"/>
        <c:holeSize val="50"/>
      </c:doughnutChart>
    </c:plotArea>
    <c:plotVisOnly val="1"/>
    <c:dispBlanksAs val="zero"/>
    <c:showDLblsOverMax val="0"/>
  </c:chart>
  <c:txPr>
    <a:bodyPr/>
    <a:lstStyle/>
    <a:p>
      <a:pPr>
        <a:defRPr sz="1800"/>
      </a:pPr>
      <a:endParaRPr lang="el-GR"/>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l-GR"/>
              <a:t>Γράφημα</a:t>
            </a:r>
            <a:r>
              <a:rPr lang="el-GR" baseline="0"/>
              <a:t> 2: </a:t>
            </a:r>
            <a:r>
              <a:rPr lang="el-GR"/>
              <a:t>Δείκτης</a:t>
            </a:r>
            <a:r>
              <a:rPr lang="el-GR" baseline="0"/>
              <a:t> Κύκλου Εργασιών</a:t>
            </a:r>
            <a:endParaRPr lang="el-GR"/>
          </a:p>
        </c:rich>
      </c:tx>
      <c:overlay val="0"/>
    </c:title>
    <c:autoTitleDeleted val="0"/>
    <c:plotArea>
      <c:layout/>
      <c:lineChart>
        <c:grouping val="standard"/>
        <c:varyColors val="0"/>
        <c:ser>
          <c:idx val="0"/>
          <c:order val="0"/>
          <c:tx>
            <c:strRef>
              <c:f>'ΚΥΚΛΟΣ ΕΡΓΑΣΙΩΝ'!$A$3</c:f>
              <c:strCache>
                <c:ptCount val="1"/>
                <c:pt idx="0">
                  <c:v>ΑΠΟΤΙΜΗΣΗ</c:v>
                </c:pt>
              </c:strCache>
            </c:strRef>
          </c:tx>
          <c:dLbls>
            <c:dLblPos val="b"/>
            <c:showLegendKey val="0"/>
            <c:showVal val="1"/>
            <c:showCatName val="0"/>
            <c:showSerName val="0"/>
            <c:showPercent val="0"/>
            <c:showBubbleSize val="0"/>
            <c:showLeaderLines val="0"/>
          </c:dLbls>
          <c:cat>
            <c:strRef>
              <c:f>'ΚΥΚΛΟΣ ΕΡΓΑΣΙΩΝ'!$B$2:$V$2</c:f>
              <c:strCache>
                <c:ptCount val="21"/>
                <c:pt idx="0">
                  <c:v>2009Β</c:v>
                </c:pt>
                <c:pt idx="1">
                  <c:v>2010Α</c:v>
                </c:pt>
                <c:pt idx="2">
                  <c:v>2010Β</c:v>
                </c:pt>
                <c:pt idx="3">
                  <c:v>2011Α</c:v>
                </c:pt>
                <c:pt idx="4">
                  <c:v>2011Β</c:v>
                </c:pt>
                <c:pt idx="5">
                  <c:v>2012Α</c:v>
                </c:pt>
                <c:pt idx="6">
                  <c:v>2012Β</c:v>
                </c:pt>
                <c:pt idx="7">
                  <c:v>2013Α</c:v>
                </c:pt>
                <c:pt idx="8">
                  <c:v>2013Β</c:v>
                </c:pt>
                <c:pt idx="9">
                  <c:v>2014Α</c:v>
                </c:pt>
                <c:pt idx="10">
                  <c:v>2014Β</c:v>
                </c:pt>
                <c:pt idx="11">
                  <c:v>2015Α</c:v>
                </c:pt>
                <c:pt idx="12">
                  <c:v>2015Β</c:v>
                </c:pt>
                <c:pt idx="13">
                  <c:v>2016Α</c:v>
                </c:pt>
                <c:pt idx="14">
                  <c:v>2016Β</c:v>
                </c:pt>
                <c:pt idx="15">
                  <c:v>2017Α</c:v>
                </c:pt>
                <c:pt idx="16">
                  <c:v>2017Β</c:v>
                </c:pt>
                <c:pt idx="17">
                  <c:v>2018Α</c:v>
                </c:pt>
                <c:pt idx="18">
                  <c:v>2018Β</c:v>
                </c:pt>
                <c:pt idx="19">
                  <c:v>2019Α</c:v>
                </c:pt>
                <c:pt idx="20">
                  <c:v>2019Β</c:v>
                </c:pt>
              </c:strCache>
            </c:strRef>
          </c:cat>
          <c:val>
            <c:numRef>
              <c:f>'ΚΥΚΛΟΣ ΕΡΓΑΣΙΩΝ'!$B$3:$V$3</c:f>
              <c:numCache>
                <c:formatCode>0.0</c:formatCode>
                <c:ptCount val="21"/>
                <c:pt idx="0">
                  <c:v>29.087261785356077</c:v>
                </c:pt>
                <c:pt idx="1">
                  <c:v>22.76830491474422</c:v>
                </c:pt>
                <c:pt idx="2">
                  <c:v>19.71971971971972</c:v>
                </c:pt>
                <c:pt idx="3">
                  <c:v>19.43605236656596</c:v>
                </c:pt>
                <c:pt idx="4">
                  <c:v>17.251755265797399</c:v>
                </c:pt>
                <c:pt idx="5">
                  <c:v>14.228052472250255</c:v>
                </c:pt>
                <c:pt idx="6">
                  <c:v>18.818818818818826</c:v>
                </c:pt>
                <c:pt idx="7">
                  <c:v>24.200000000000003</c:v>
                </c:pt>
                <c:pt idx="8">
                  <c:v>32.997987927565404</c:v>
                </c:pt>
                <c:pt idx="9">
                  <c:v>34.98483316481294</c:v>
                </c:pt>
                <c:pt idx="10">
                  <c:v>46.586345381526101</c:v>
                </c:pt>
                <c:pt idx="11">
                  <c:v>24.672708962739179</c:v>
                </c:pt>
                <c:pt idx="12">
                  <c:v>36.78391959798995</c:v>
                </c:pt>
                <c:pt idx="13">
                  <c:v>33.299798792756548</c:v>
                </c:pt>
                <c:pt idx="14">
                  <c:v>39.717741935483872</c:v>
                </c:pt>
                <c:pt idx="15">
                  <c:v>41.967871485943775</c:v>
                </c:pt>
                <c:pt idx="16">
                  <c:v>53.300000000000004</c:v>
                </c:pt>
                <c:pt idx="17">
                  <c:v>51.769464105156729</c:v>
                </c:pt>
                <c:pt idx="18">
                  <c:v>62.324649298597201</c:v>
                </c:pt>
                <c:pt idx="19">
                  <c:v>58.434959349593491</c:v>
                </c:pt>
              </c:numCache>
            </c:numRef>
          </c:val>
          <c:smooth val="0"/>
        </c:ser>
        <c:dLbls>
          <c:showLegendKey val="0"/>
          <c:showVal val="0"/>
          <c:showCatName val="0"/>
          <c:showSerName val="0"/>
          <c:showPercent val="0"/>
          <c:showBubbleSize val="0"/>
        </c:dLbls>
        <c:marker val="1"/>
        <c:smooth val="0"/>
        <c:axId val="346958464"/>
        <c:axId val="346960256"/>
      </c:lineChart>
      <c:catAx>
        <c:axId val="346958464"/>
        <c:scaling>
          <c:orientation val="minMax"/>
        </c:scaling>
        <c:delete val="0"/>
        <c:axPos val="b"/>
        <c:majorTickMark val="none"/>
        <c:minorTickMark val="none"/>
        <c:tickLblPos val="low"/>
        <c:txPr>
          <a:bodyPr rot="-3120000"/>
          <a:lstStyle/>
          <a:p>
            <a:pPr>
              <a:defRPr/>
            </a:pPr>
            <a:endParaRPr lang="el-GR"/>
          </a:p>
        </c:txPr>
        <c:crossAx val="346960256"/>
        <c:crosses val="autoZero"/>
        <c:auto val="1"/>
        <c:lblAlgn val="ctr"/>
        <c:lblOffset val="100"/>
        <c:noMultiLvlLbl val="0"/>
      </c:catAx>
      <c:valAx>
        <c:axId val="346960256"/>
        <c:scaling>
          <c:orientation val="minMax"/>
        </c:scaling>
        <c:delete val="0"/>
        <c:axPos val="l"/>
        <c:majorGridlines/>
        <c:numFmt formatCode="0.0" sourceLinked="1"/>
        <c:majorTickMark val="none"/>
        <c:minorTickMark val="none"/>
        <c:tickLblPos val="nextTo"/>
        <c:crossAx val="346958464"/>
        <c:crosses val="autoZero"/>
        <c:crossBetween val="between"/>
      </c:valAx>
    </c:plotArea>
    <c:legend>
      <c:legendPos val="b"/>
      <c:overlay val="0"/>
    </c:legend>
    <c:plotVisOnly val="1"/>
    <c:dispBlanksAs val="gap"/>
    <c:showDLblsOverMax val="0"/>
  </c:chart>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Φύλλο1!$B$1</c:f>
              <c:strCache>
                <c:ptCount val="1"/>
                <c:pt idx="0">
                  <c:v>Σειρά 1</c:v>
                </c:pt>
              </c:strCache>
            </c:strRef>
          </c:tx>
          <c:spPr>
            <a:solidFill>
              <a:schemeClr val="accent1">
                <a:lumMod val="75000"/>
              </a:schemeClr>
            </a:solidFill>
          </c:spPr>
          <c:invertIfNegative val="0"/>
          <c:dLbls>
            <c:dLbl>
              <c:idx val="4"/>
              <c:spPr/>
              <c:txPr>
                <a:bodyPr/>
                <a:lstStyle/>
                <a:p>
                  <a:pPr algn="ctr">
                    <a:defRPr lang="el-GR" sz="1000" b="0" i="0" u="none" strike="noStrike" kern="1200" baseline="0">
                      <a:solidFill>
                        <a:prstClr val="black"/>
                      </a:solidFill>
                      <a:latin typeface="Calibri" panose="020F0502020204030204" pitchFamily="34" charset="0"/>
                      <a:ea typeface="+mn-ea"/>
                      <a:cs typeface="+mn-cs"/>
                    </a:defRPr>
                  </a:pPr>
                  <a:endParaRPr lang="el-GR"/>
                </a:p>
              </c:txPr>
              <c:showLegendKey val="0"/>
              <c:showVal val="1"/>
              <c:showCatName val="0"/>
              <c:showSerName val="0"/>
              <c:showPercent val="0"/>
              <c:showBubbleSize val="0"/>
            </c:dLbl>
            <c:dLbl>
              <c:idx val="5"/>
              <c:spPr/>
              <c:txPr>
                <a:bodyPr/>
                <a:lstStyle/>
                <a:p>
                  <a:pPr algn="ctr">
                    <a:defRPr lang="el-GR" sz="1000" b="0" i="0" u="none" strike="noStrike" kern="1200" baseline="0">
                      <a:solidFill>
                        <a:prstClr val="black"/>
                      </a:solidFill>
                      <a:latin typeface="Calibri" panose="020F0502020204030204" pitchFamily="34" charset="0"/>
                      <a:ea typeface="+mn-ea"/>
                      <a:cs typeface="+mn-cs"/>
                    </a:defRPr>
                  </a:pPr>
                  <a:endParaRPr lang="el-GR"/>
                </a:p>
              </c:txPr>
              <c:showLegendKey val="0"/>
              <c:showVal val="1"/>
              <c:showCatName val="0"/>
              <c:showSerName val="0"/>
              <c:showPercent val="0"/>
              <c:showBubbleSize val="0"/>
            </c:dLbl>
            <c:spPr>
              <a:noFill/>
              <a:ln>
                <a:noFill/>
              </a:ln>
              <a:effectLst/>
            </c:spPr>
            <c:txPr>
              <a:bodyPr/>
              <a:lstStyle/>
              <a:p>
                <a:pPr>
                  <a:defRPr sz="1000">
                    <a:latin typeface="Calibri" panose="020F0502020204030204" pitchFamily="34" charset="0"/>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Φύλλο1!$A$2:$A$4</c:f>
              <c:strCache>
                <c:ptCount val="3"/>
                <c:pt idx="0">
                  <c:v>Θα είναι Εξωτερική συνεργασία (μπλοκάκι)</c:v>
                </c:pt>
                <c:pt idx="1">
                  <c:v>Θα είναι Μερικής απασχόλησης</c:v>
                </c:pt>
                <c:pt idx="2">
                  <c:v>Θα είναι Πλήρους απασχόλησης</c:v>
                </c:pt>
              </c:strCache>
            </c:strRef>
          </c:cat>
          <c:val>
            <c:numRef>
              <c:f>Φύλλο1!$B$2:$B$4</c:f>
              <c:numCache>
                <c:formatCode>###0.0</c:formatCode>
                <c:ptCount val="3"/>
                <c:pt idx="0">
                  <c:v>1.6</c:v>
                </c:pt>
                <c:pt idx="1">
                  <c:v>29.7</c:v>
                </c:pt>
                <c:pt idx="2">
                  <c:v>62.5</c:v>
                </c:pt>
              </c:numCache>
            </c:numRef>
          </c:val>
          <c:extLst xmlns:c16r2="http://schemas.microsoft.com/office/drawing/2015/06/chart">
            <c:ext xmlns:c16="http://schemas.microsoft.com/office/drawing/2014/chart" uri="{C3380CC4-5D6E-409C-BE32-E72D297353CC}">
              <c16:uniqueId val="{00000002-7E3B-48B6-8697-D19581FA327D}"/>
            </c:ext>
          </c:extLst>
        </c:ser>
        <c:dLbls>
          <c:showLegendKey val="0"/>
          <c:showVal val="0"/>
          <c:showCatName val="0"/>
          <c:showSerName val="0"/>
          <c:showPercent val="0"/>
          <c:showBubbleSize val="0"/>
        </c:dLbls>
        <c:gapWidth val="72"/>
        <c:axId val="348454912"/>
        <c:axId val="348456448"/>
      </c:barChart>
      <c:catAx>
        <c:axId val="348454912"/>
        <c:scaling>
          <c:orientation val="minMax"/>
        </c:scaling>
        <c:delete val="0"/>
        <c:axPos val="l"/>
        <c:numFmt formatCode="General" sourceLinked="0"/>
        <c:majorTickMark val="out"/>
        <c:minorTickMark val="none"/>
        <c:tickLblPos val="nextTo"/>
        <c:txPr>
          <a:bodyPr/>
          <a:lstStyle/>
          <a:p>
            <a:pPr>
              <a:defRPr sz="900">
                <a:latin typeface="Calibri" panose="020F0502020204030204" pitchFamily="34" charset="0"/>
              </a:defRPr>
            </a:pPr>
            <a:endParaRPr lang="el-GR"/>
          </a:p>
        </c:txPr>
        <c:crossAx val="348456448"/>
        <c:crosses val="autoZero"/>
        <c:auto val="1"/>
        <c:lblAlgn val="ctr"/>
        <c:lblOffset val="100"/>
        <c:noMultiLvlLbl val="0"/>
      </c:catAx>
      <c:valAx>
        <c:axId val="348456448"/>
        <c:scaling>
          <c:orientation val="minMax"/>
          <c:max val="100"/>
        </c:scaling>
        <c:delete val="0"/>
        <c:axPos val="b"/>
        <c:majorGridlines/>
        <c:numFmt formatCode="###0.0" sourceLinked="1"/>
        <c:majorTickMark val="out"/>
        <c:minorTickMark val="none"/>
        <c:tickLblPos val="nextTo"/>
        <c:txPr>
          <a:bodyPr/>
          <a:lstStyle/>
          <a:p>
            <a:pPr>
              <a:defRPr sz="900">
                <a:latin typeface="Calibri" panose="020F0502020204030204" pitchFamily="34" charset="0"/>
              </a:defRPr>
            </a:pPr>
            <a:endParaRPr lang="el-GR"/>
          </a:p>
        </c:txPr>
        <c:crossAx val="348454912"/>
        <c:crosses val="autoZero"/>
        <c:crossBetween val="between"/>
      </c:valAx>
    </c:plotArea>
    <c:plotVisOnly val="1"/>
    <c:dispBlanksAs val="gap"/>
    <c:showDLblsOverMax val="0"/>
  </c:chart>
  <c:spPr>
    <a:ln>
      <a:solidFill>
        <a:srgbClr val="4F81BD"/>
      </a:solidFill>
    </a:ln>
  </c:spPr>
  <c:txPr>
    <a:bodyPr/>
    <a:lstStyle/>
    <a:p>
      <a:pPr>
        <a:defRPr sz="1800"/>
      </a:pPr>
      <a:endParaRPr lang="el-GR"/>
    </a:p>
  </c:txPr>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l-GR" sz="1400" b="1" i="0" u="none" strike="noStrike" baseline="0">
                <a:effectLst/>
              </a:rPr>
              <a:t>Γράφημα 21: Καθυστερημένες οφειλές (1/2011-7/2019) σε:</a:t>
            </a:r>
            <a:endParaRPr lang="en-US" sz="1400"/>
          </a:p>
        </c:rich>
      </c:tx>
      <c:overlay val="0"/>
    </c:title>
    <c:autoTitleDeleted val="0"/>
    <c:plotArea>
      <c:layout>
        <c:manualLayout>
          <c:layoutTarget val="inner"/>
          <c:xMode val="edge"/>
          <c:yMode val="edge"/>
          <c:x val="5.4075799210544694E-2"/>
          <c:y val="0.17218759113444151"/>
          <c:w val="0.72675875609445528"/>
          <c:h val="0.54542067658209392"/>
        </c:manualLayout>
      </c:layout>
      <c:lineChart>
        <c:grouping val="standard"/>
        <c:varyColors val="0"/>
        <c:ser>
          <c:idx val="0"/>
          <c:order val="0"/>
          <c:tx>
            <c:strRef>
              <c:f>Φύλλο1!$B$1</c:f>
              <c:strCache>
                <c:ptCount val="1"/>
                <c:pt idx="0">
                  <c:v>ΟΑΕΕ</c:v>
                </c:pt>
              </c:strCache>
            </c:strRef>
          </c:tx>
          <c:marker>
            <c:symbol val="none"/>
          </c:marker>
          <c:dLbls>
            <c:txPr>
              <a:bodyPr/>
              <a:lstStyle/>
              <a:p>
                <a:pPr>
                  <a:defRPr sz="800"/>
                </a:pPr>
                <a:endParaRPr lang="el-GR"/>
              </a:p>
            </c:txPr>
            <c:dLblPos val="t"/>
            <c:showLegendKey val="0"/>
            <c:showVal val="1"/>
            <c:showCatName val="0"/>
            <c:showSerName val="0"/>
            <c:showPercent val="0"/>
            <c:showBubbleSize val="0"/>
            <c:showLeaderLines val="0"/>
          </c:dLbls>
          <c:cat>
            <c:strRef>
              <c:f>Φύλλο1!$A$2:$A$19</c:f>
              <c:strCache>
                <c:ptCount val="18"/>
                <c:pt idx="0">
                  <c:v>ΙΑΝ. 2011</c:v>
                </c:pt>
                <c:pt idx="1">
                  <c:v>ΙΟΥΛ. 2011</c:v>
                </c:pt>
                <c:pt idx="2">
                  <c:v>ΙΑΝ. 2012</c:v>
                </c:pt>
                <c:pt idx="3">
                  <c:v>ΙΟΥΛ. 2012</c:v>
                </c:pt>
                <c:pt idx="4">
                  <c:v>ΙΑΝ. 2013</c:v>
                </c:pt>
                <c:pt idx="5">
                  <c:v>ΙΟΥΛ. 2013</c:v>
                </c:pt>
                <c:pt idx="6">
                  <c:v>ΦΕΒΡ. 2014</c:v>
                </c:pt>
                <c:pt idx="7">
                  <c:v>ΙΟΥΛ. 2014</c:v>
                </c:pt>
                <c:pt idx="8">
                  <c:v>ΦΕΒΡ. 2015</c:v>
                </c:pt>
                <c:pt idx="9">
                  <c:v>ΙΟΥΛ. 2015</c:v>
                </c:pt>
                <c:pt idx="10">
                  <c:v>ΦΕΒΡ. 2016</c:v>
                </c:pt>
                <c:pt idx="11">
                  <c:v>ΙΟΥΛ. 2016</c:v>
                </c:pt>
                <c:pt idx="12">
                  <c:v>ΦΕΒΡ. 2017</c:v>
                </c:pt>
                <c:pt idx="13">
                  <c:v>ΙΟΥΛ. 2017</c:v>
                </c:pt>
                <c:pt idx="14">
                  <c:v>ΦΕΒΡ. 2018</c:v>
                </c:pt>
                <c:pt idx="15">
                  <c:v>ΙΟΥΛ. 2018</c:v>
                </c:pt>
                <c:pt idx="16">
                  <c:v>ΦΕΒΡ. 2019</c:v>
                </c:pt>
                <c:pt idx="17">
                  <c:v>ΙΟΥΛ. 2019</c:v>
                </c:pt>
              </c:strCache>
            </c:strRef>
          </c:cat>
          <c:val>
            <c:numRef>
              <c:f>Φύλλο1!$B$2:$B$19</c:f>
              <c:numCache>
                <c:formatCode>General</c:formatCode>
                <c:ptCount val="18"/>
                <c:pt idx="0">
                  <c:v>36.299999999999997</c:v>
                </c:pt>
                <c:pt idx="1">
                  <c:v>32.299999999999997</c:v>
                </c:pt>
                <c:pt idx="2">
                  <c:v>38.299999999999997</c:v>
                </c:pt>
                <c:pt idx="3">
                  <c:v>39.6</c:v>
                </c:pt>
                <c:pt idx="4">
                  <c:v>43</c:v>
                </c:pt>
                <c:pt idx="5">
                  <c:v>43.2</c:v>
                </c:pt>
                <c:pt idx="6">
                  <c:v>39.5</c:v>
                </c:pt>
                <c:pt idx="7">
                  <c:v>41.7</c:v>
                </c:pt>
                <c:pt idx="8">
                  <c:v>38.1</c:v>
                </c:pt>
                <c:pt idx="9">
                  <c:v>35.6</c:v>
                </c:pt>
                <c:pt idx="10">
                  <c:v>28.1</c:v>
                </c:pt>
                <c:pt idx="11">
                  <c:v>28.3</c:v>
                </c:pt>
                <c:pt idx="12">
                  <c:v>26.7</c:v>
                </c:pt>
                <c:pt idx="13">
                  <c:v>26.2</c:v>
                </c:pt>
                <c:pt idx="14">
                  <c:v>26.3</c:v>
                </c:pt>
                <c:pt idx="15">
                  <c:v>23.9</c:v>
                </c:pt>
                <c:pt idx="16">
                  <c:v>26.4</c:v>
                </c:pt>
                <c:pt idx="17">
                  <c:v>22.1</c:v>
                </c:pt>
              </c:numCache>
            </c:numRef>
          </c:val>
          <c:smooth val="0"/>
        </c:ser>
        <c:ser>
          <c:idx val="1"/>
          <c:order val="1"/>
          <c:tx>
            <c:strRef>
              <c:f>Φύλλο1!$C$1</c:f>
              <c:strCache>
                <c:ptCount val="1"/>
                <c:pt idx="0">
                  <c:v>Εφορία (ΦΠΑ, ΦΜΥ, κλπ) </c:v>
                </c:pt>
              </c:strCache>
            </c:strRef>
          </c:tx>
          <c:marker>
            <c:symbol val="none"/>
          </c:marker>
          <c:dLbls>
            <c:dLbl>
              <c:idx val="0"/>
              <c:layout>
                <c:manualLayout>
                  <c:x val="-2.6249347939488785E-2"/>
                  <c:y val="-1.5821250009454869E-2"/>
                </c:manualLayout>
              </c:layout>
              <c:dLblPos val="r"/>
              <c:showLegendKey val="0"/>
              <c:showVal val="1"/>
              <c:showCatName val="0"/>
              <c:showSerName val="0"/>
              <c:showPercent val="0"/>
              <c:showBubbleSize val="0"/>
            </c:dLbl>
            <c:dLbl>
              <c:idx val="1"/>
              <c:layout>
                <c:manualLayout>
                  <c:x val="-3.2509128847157016E-2"/>
                  <c:y val="4.1815637598614293E-2"/>
                </c:manualLayout>
              </c:layout>
              <c:dLblPos val="r"/>
              <c:showLegendKey val="0"/>
              <c:showVal val="1"/>
              <c:showCatName val="0"/>
              <c:showSerName val="0"/>
              <c:showPercent val="0"/>
              <c:showBubbleSize val="0"/>
            </c:dLbl>
            <c:dLbl>
              <c:idx val="2"/>
              <c:layout>
                <c:manualLayout>
                  <c:x val="-3.0422535211267587E-2"/>
                  <c:y val="-1.1978790835583593E-2"/>
                </c:manualLayout>
              </c:layout>
              <c:dLblPos val="r"/>
              <c:showLegendKey val="0"/>
              <c:showVal val="1"/>
              <c:showCatName val="0"/>
              <c:showSerName val="0"/>
              <c:showPercent val="0"/>
              <c:showBubbleSize val="0"/>
            </c:dLbl>
            <c:dLbl>
              <c:idx val="3"/>
              <c:layout>
                <c:manualLayout>
                  <c:x val="-3.2509128847157016E-2"/>
                  <c:y val="-2.3506168357197425E-2"/>
                </c:manualLayout>
              </c:layout>
              <c:dLblPos val="r"/>
              <c:showLegendKey val="0"/>
              <c:showVal val="1"/>
              <c:showCatName val="0"/>
              <c:showSerName val="0"/>
              <c:showPercent val="0"/>
              <c:showBubbleSize val="0"/>
            </c:dLbl>
            <c:txPr>
              <a:bodyPr/>
              <a:lstStyle/>
              <a:p>
                <a:pPr>
                  <a:defRPr sz="800"/>
                </a:pPr>
                <a:endParaRPr lang="el-GR"/>
              </a:p>
            </c:txPr>
            <c:dLblPos val="b"/>
            <c:showLegendKey val="0"/>
            <c:showVal val="1"/>
            <c:showCatName val="0"/>
            <c:showSerName val="0"/>
            <c:showPercent val="0"/>
            <c:showBubbleSize val="0"/>
            <c:showLeaderLines val="0"/>
          </c:dLbls>
          <c:cat>
            <c:strRef>
              <c:f>Φύλλο1!$A$2:$A$19</c:f>
              <c:strCache>
                <c:ptCount val="18"/>
                <c:pt idx="0">
                  <c:v>ΙΑΝ. 2011</c:v>
                </c:pt>
                <c:pt idx="1">
                  <c:v>ΙΟΥΛ. 2011</c:v>
                </c:pt>
                <c:pt idx="2">
                  <c:v>ΙΑΝ. 2012</c:v>
                </c:pt>
                <c:pt idx="3">
                  <c:v>ΙΟΥΛ. 2012</c:v>
                </c:pt>
                <c:pt idx="4">
                  <c:v>ΙΑΝ. 2013</c:v>
                </c:pt>
                <c:pt idx="5">
                  <c:v>ΙΟΥΛ. 2013</c:v>
                </c:pt>
                <c:pt idx="6">
                  <c:v>ΦΕΒΡ. 2014</c:v>
                </c:pt>
                <c:pt idx="7">
                  <c:v>ΙΟΥΛ. 2014</c:v>
                </c:pt>
                <c:pt idx="8">
                  <c:v>ΦΕΒΡ. 2015</c:v>
                </c:pt>
                <c:pt idx="9">
                  <c:v>ΙΟΥΛ. 2015</c:v>
                </c:pt>
                <c:pt idx="10">
                  <c:v>ΦΕΒΡ. 2016</c:v>
                </c:pt>
                <c:pt idx="11">
                  <c:v>ΙΟΥΛ. 2016</c:v>
                </c:pt>
                <c:pt idx="12">
                  <c:v>ΦΕΒΡ. 2017</c:v>
                </c:pt>
                <c:pt idx="13">
                  <c:v>ΙΟΥΛ. 2017</c:v>
                </c:pt>
                <c:pt idx="14">
                  <c:v>ΦΕΒΡ. 2018</c:v>
                </c:pt>
                <c:pt idx="15">
                  <c:v>ΙΟΥΛ. 2018</c:v>
                </c:pt>
                <c:pt idx="16">
                  <c:v>ΦΕΒΡ. 2019</c:v>
                </c:pt>
                <c:pt idx="17">
                  <c:v>ΙΟΥΛ. 2019</c:v>
                </c:pt>
              </c:strCache>
            </c:strRef>
          </c:cat>
          <c:val>
            <c:numRef>
              <c:f>Φύλλο1!$C$2:$C$19</c:f>
              <c:numCache>
                <c:formatCode>General</c:formatCode>
                <c:ptCount val="18"/>
                <c:pt idx="0">
                  <c:v>27.3</c:v>
                </c:pt>
                <c:pt idx="1">
                  <c:v>21.9</c:v>
                </c:pt>
                <c:pt idx="2">
                  <c:v>27.3</c:v>
                </c:pt>
                <c:pt idx="3">
                  <c:v>26.7</c:v>
                </c:pt>
                <c:pt idx="4">
                  <c:v>31.9</c:v>
                </c:pt>
                <c:pt idx="5">
                  <c:v>34.1</c:v>
                </c:pt>
                <c:pt idx="6">
                  <c:v>32.700000000000003</c:v>
                </c:pt>
                <c:pt idx="7">
                  <c:v>31.8</c:v>
                </c:pt>
                <c:pt idx="8">
                  <c:v>31.9</c:v>
                </c:pt>
                <c:pt idx="9">
                  <c:v>29.5</c:v>
                </c:pt>
                <c:pt idx="10">
                  <c:v>22</c:v>
                </c:pt>
                <c:pt idx="11">
                  <c:v>21.9</c:v>
                </c:pt>
                <c:pt idx="12">
                  <c:v>23.8</c:v>
                </c:pt>
                <c:pt idx="13">
                  <c:v>23.8</c:v>
                </c:pt>
                <c:pt idx="14">
                  <c:v>24.8</c:v>
                </c:pt>
                <c:pt idx="15">
                  <c:v>23.2</c:v>
                </c:pt>
                <c:pt idx="16">
                  <c:v>24.9</c:v>
                </c:pt>
                <c:pt idx="17">
                  <c:v>21</c:v>
                </c:pt>
              </c:numCache>
            </c:numRef>
          </c:val>
          <c:smooth val="0"/>
        </c:ser>
        <c:ser>
          <c:idx val="2"/>
          <c:order val="2"/>
          <c:tx>
            <c:strRef>
              <c:f>Φύλλο1!$D$1</c:f>
              <c:strCache>
                <c:ptCount val="1"/>
                <c:pt idx="0">
                  <c:v>ΙΚΑ (Ασφαλιστικές εισφορές)</c:v>
                </c:pt>
              </c:strCache>
            </c:strRef>
          </c:tx>
          <c:marker>
            <c:symbol val="none"/>
          </c:marker>
          <c:dLbls>
            <c:dLbl>
              <c:idx val="1"/>
              <c:layout>
                <c:manualLayout>
                  <c:x val="-3.2034469869670047E-2"/>
                  <c:y val="-2.6503286512817022E-2"/>
                </c:manualLayout>
              </c:layout>
              <c:dLblPos val="r"/>
              <c:showLegendKey val="0"/>
              <c:showVal val="1"/>
              <c:showCatName val="0"/>
              <c:showSerName val="0"/>
              <c:showPercent val="0"/>
              <c:showBubbleSize val="0"/>
            </c:dLbl>
            <c:dLblPos val="b"/>
            <c:showLegendKey val="0"/>
            <c:showVal val="1"/>
            <c:showCatName val="0"/>
            <c:showSerName val="0"/>
            <c:showPercent val="0"/>
            <c:showBubbleSize val="0"/>
            <c:showLeaderLines val="0"/>
          </c:dLbls>
          <c:cat>
            <c:strRef>
              <c:f>Φύλλο1!$A$2:$A$19</c:f>
              <c:strCache>
                <c:ptCount val="18"/>
                <c:pt idx="0">
                  <c:v>ΙΑΝ. 2011</c:v>
                </c:pt>
                <c:pt idx="1">
                  <c:v>ΙΟΥΛ. 2011</c:v>
                </c:pt>
                <c:pt idx="2">
                  <c:v>ΙΑΝ. 2012</c:v>
                </c:pt>
                <c:pt idx="3">
                  <c:v>ΙΟΥΛ. 2012</c:v>
                </c:pt>
                <c:pt idx="4">
                  <c:v>ΙΑΝ. 2013</c:v>
                </c:pt>
                <c:pt idx="5">
                  <c:v>ΙΟΥΛ. 2013</c:v>
                </c:pt>
                <c:pt idx="6">
                  <c:v>ΦΕΒΡ. 2014</c:v>
                </c:pt>
                <c:pt idx="7">
                  <c:v>ΙΟΥΛ. 2014</c:v>
                </c:pt>
                <c:pt idx="8">
                  <c:v>ΦΕΒΡ. 2015</c:v>
                </c:pt>
                <c:pt idx="9">
                  <c:v>ΙΟΥΛ. 2015</c:v>
                </c:pt>
                <c:pt idx="10">
                  <c:v>ΦΕΒΡ. 2016</c:v>
                </c:pt>
                <c:pt idx="11">
                  <c:v>ΙΟΥΛ. 2016</c:v>
                </c:pt>
                <c:pt idx="12">
                  <c:v>ΦΕΒΡ. 2017</c:v>
                </c:pt>
                <c:pt idx="13">
                  <c:v>ΙΟΥΛ. 2017</c:v>
                </c:pt>
                <c:pt idx="14">
                  <c:v>ΦΕΒΡ. 2018</c:v>
                </c:pt>
                <c:pt idx="15">
                  <c:v>ΙΟΥΛ. 2018</c:v>
                </c:pt>
                <c:pt idx="16">
                  <c:v>ΦΕΒΡ. 2019</c:v>
                </c:pt>
                <c:pt idx="17">
                  <c:v>ΙΟΥΛ. 2019</c:v>
                </c:pt>
              </c:strCache>
            </c:strRef>
          </c:cat>
          <c:val>
            <c:numRef>
              <c:f>Φύλλο1!$D$2:$D$19</c:f>
              <c:numCache>
                <c:formatCode>General</c:formatCode>
                <c:ptCount val="18"/>
                <c:pt idx="0">
                  <c:v>24</c:v>
                </c:pt>
                <c:pt idx="1">
                  <c:v>22.4</c:v>
                </c:pt>
                <c:pt idx="2">
                  <c:v>22.3</c:v>
                </c:pt>
                <c:pt idx="3">
                  <c:v>23.2</c:v>
                </c:pt>
                <c:pt idx="4">
                  <c:v>17.3</c:v>
                </c:pt>
                <c:pt idx="5">
                  <c:v>22.6</c:v>
                </c:pt>
                <c:pt idx="6">
                  <c:v>25.9</c:v>
                </c:pt>
                <c:pt idx="7">
                  <c:v>20.9</c:v>
                </c:pt>
                <c:pt idx="8">
                  <c:v>13</c:v>
                </c:pt>
                <c:pt idx="9">
                  <c:v>12.6</c:v>
                </c:pt>
                <c:pt idx="10">
                  <c:v>10.199999999999999</c:v>
                </c:pt>
                <c:pt idx="11">
                  <c:v>13.4</c:v>
                </c:pt>
                <c:pt idx="12">
                  <c:v>10.4</c:v>
                </c:pt>
                <c:pt idx="13">
                  <c:v>13.6</c:v>
                </c:pt>
                <c:pt idx="14">
                  <c:v>13</c:v>
                </c:pt>
                <c:pt idx="15">
                  <c:v>10.7</c:v>
                </c:pt>
                <c:pt idx="16">
                  <c:v>13.2</c:v>
                </c:pt>
                <c:pt idx="17">
                  <c:v>11.4</c:v>
                </c:pt>
              </c:numCache>
            </c:numRef>
          </c:val>
          <c:smooth val="0"/>
        </c:ser>
        <c:dLbls>
          <c:showLegendKey val="0"/>
          <c:showVal val="0"/>
          <c:showCatName val="0"/>
          <c:showSerName val="0"/>
          <c:showPercent val="0"/>
          <c:showBubbleSize val="0"/>
        </c:dLbls>
        <c:marker val="1"/>
        <c:smooth val="0"/>
        <c:axId val="348540288"/>
        <c:axId val="348558464"/>
      </c:lineChart>
      <c:catAx>
        <c:axId val="348540288"/>
        <c:scaling>
          <c:orientation val="minMax"/>
        </c:scaling>
        <c:delete val="0"/>
        <c:axPos val="b"/>
        <c:majorTickMark val="out"/>
        <c:minorTickMark val="none"/>
        <c:tickLblPos val="nextTo"/>
        <c:txPr>
          <a:bodyPr/>
          <a:lstStyle/>
          <a:p>
            <a:pPr>
              <a:defRPr sz="800"/>
            </a:pPr>
            <a:endParaRPr lang="el-GR"/>
          </a:p>
        </c:txPr>
        <c:crossAx val="348558464"/>
        <c:crosses val="autoZero"/>
        <c:auto val="1"/>
        <c:lblAlgn val="ctr"/>
        <c:lblOffset val="100"/>
        <c:noMultiLvlLbl val="0"/>
      </c:catAx>
      <c:valAx>
        <c:axId val="348558464"/>
        <c:scaling>
          <c:orientation val="minMax"/>
        </c:scaling>
        <c:delete val="0"/>
        <c:axPos val="l"/>
        <c:majorGridlines/>
        <c:numFmt formatCode="General" sourceLinked="1"/>
        <c:majorTickMark val="out"/>
        <c:minorTickMark val="none"/>
        <c:tickLblPos val="nextTo"/>
        <c:crossAx val="348540288"/>
        <c:crosses val="autoZero"/>
        <c:crossBetween val="between"/>
      </c:valAx>
      <c:spPr>
        <a:ln>
          <a:solidFill>
            <a:schemeClr val="tx1"/>
          </a:solidFill>
        </a:ln>
      </c:spPr>
    </c:plotArea>
    <c:legend>
      <c:legendPos val="r"/>
      <c:layout>
        <c:manualLayout>
          <c:xMode val="edge"/>
          <c:yMode val="edge"/>
          <c:x val="0.80796027257156233"/>
          <c:y val="0.17092884222805485"/>
          <c:w val="0.17952016561310119"/>
          <c:h val="0.53818861184018663"/>
        </c:manualLayout>
      </c:layout>
      <c:overlay val="0"/>
      <c:spPr>
        <a:ln>
          <a:solidFill>
            <a:schemeClr val="tx1"/>
          </a:solidFill>
        </a:ln>
      </c:spPr>
    </c:legend>
    <c:plotVisOnly val="1"/>
    <c:dispBlanksAs val="gap"/>
    <c:showDLblsOverMax val="0"/>
  </c:chart>
  <c:externalData r:id="rId2">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Φύλλο1!$B$1</c:f>
              <c:strCache>
                <c:ptCount val="1"/>
                <c:pt idx="0">
                  <c:v>Σειρά 1</c:v>
                </c:pt>
              </c:strCache>
            </c:strRef>
          </c:tx>
          <c:spPr>
            <a:solidFill>
              <a:schemeClr val="accent1">
                <a:lumMod val="75000"/>
              </a:schemeClr>
            </a:solidFill>
          </c:spPr>
          <c:invertIfNegative val="0"/>
          <c:dPt>
            <c:idx val="0"/>
            <c:invertIfNegative val="0"/>
            <c:bubble3D val="0"/>
            <c:spPr>
              <a:solidFill>
                <a:schemeClr val="tx1">
                  <a:lumMod val="50000"/>
                  <a:lumOff val="50000"/>
                </a:schemeClr>
              </a:solidFill>
              <a:ln>
                <a:solidFill>
                  <a:schemeClr val="tx1">
                    <a:lumMod val="50000"/>
                    <a:lumOff val="50000"/>
                  </a:schemeClr>
                </a:solidFill>
              </a:ln>
            </c:spPr>
            <c:extLst xmlns:c16r2="http://schemas.microsoft.com/office/drawing/2015/06/chart">
              <c:ext xmlns:c16="http://schemas.microsoft.com/office/drawing/2014/chart" uri="{C3380CC4-5D6E-409C-BE32-E72D297353CC}">
                <c16:uniqueId val="{00000001-3901-4FEE-BFF8-50BA9E9D6588}"/>
              </c:ext>
            </c:extLst>
          </c:dPt>
          <c:dPt>
            <c:idx val="1"/>
            <c:invertIfNegative val="0"/>
            <c:bubble3D val="0"/>
            <c:spPr>
              <a:solidFill>
                <a:schemeClr val="accent3">
                  <a:lumMod val="75000"/>
                </a:schemeClr>
              </a:solidFill>
              <a:ln>
                <a:solidFill>
                  <a:schemeClr val="accent3">
                    <a:lumMod val="75000"/>
                  </a:schemeClr>
                </a:solidFill>
              </a:ln>
            </c:spPr>
            <c:extLst xmlns:c16r2="http://schemas.microsoft.com/office/drawing/2015/06/chart">
              <c:ext xmlns:c16="http://schemas.microsoft.com/office/drawing/2014/chart" uri="{C3380CC4-5D6E-409C-BE32-E72D297353CC}">
                <c16:uniqueId val="{00000005-3901-4FEE-BFF8-50BA9E9D6588}"/>
              </c:ext>
            </c:extLst>
          </c:dPt>
          <c:dPt>
            <c:idx val="2"/>
            <c:invertIfNegative val="0"/>
            <c:bubble3D val="0"/>
            <c:spPr>
              <a:solidFill>
                <a:schemeClr val="accent2">
                  <a:lumMod val="75000"/>
                </a:schemeClr>
              </a:solidFill>
              <a:ln>
                <a:solidFill>
                  <a:schemeClr val="accent2">
                    <a:lumMod val="75000"/>
                  </a:schemeClr>
                </a:solidFill>
              </a:ln>
            </c:spPr>
            <c:extLst xmlns:c16r2="http://schemas.microsoft.com/office/drawing/2015/06/chart">
              <c:ext xmlns:c16="http://schemas.microsoft.com/office/drawing/2014/chart" uri="{C3380CC4-5D6E-409C-BE32-E72D297353CC}">
                <c16:uniqueId val="{00000006-3901-4FEE-BFF8-50BA9E9D6588}"/>
              </c:ext>
            </c:extLst>
          </c:dPt>
          <c:dPt>
            <c:idx val="3"/>
            <c:invertIfNegative val="0"/>
            <c:bubble3D val="0"/>
            <c:spPr>
              <a:solidFill>
                <a:schemeClr val="tx2">
                  <a:lumMod val="60000"/>
                  <a:lumOff val="40000"/>
                </a:schemeClr>
              </a:solidFill>
              <a:ln>
                <a:solidFill>
                  <a:schemeClr val="tx2">
                    <a:lumMod val="60000"/>
                    <a:lumOff val="40000"/>
                  </a:schemeClr>
                </a:solidFill>
              </a:ln>
            </c:spPr>
            <c:extLst xmlns:c16r2="http://schemas.microsoft.com/office/drawing/2015/06/chart">
              <c:ext xmlns:c16="http://schemas.microsoft.com/office/drawing/2014/chart" uri="{C3380CC4-5D6E-409C-BE32-E72D297353CC}">
                <c16:uniqueId val="{00000007-3901-4FEE-BFF8-50BA9E9D6588}"/>
              </c:ext>
            </c:extLst>
          </c:dPt>
          <c:dLbls>
            <c:dLbl>
              <c:idx val="4"/>
              <c:spPr/>
              <c:txPr>
                <a:bodyPr/>
                <a:lstStyle/>
                <a:p>
                  <a:pPr algn="ctr">
                    <a:defRPr lang="el-GR" sz="1200" b="0" i="0" u="none" strike="noStrike" kern="1200" baseline="0">
                      <a:solidFill>
                        <a:prstClr val="black"/>
                      </a:solidFill>
                      <a:latin typeface="Calibri" panose="020F0502020204030204" pitchFamily="34" charset="0"/>
                      <a:ea typeface="+mn-ea"/>
                      <a:cs typeface="+mn-cs"/>
                    </a:defRPr>
                  </a:pPr>
                  <a:endParaRPr lang="el-GR"/>
                </a:p>
              </c:txPr>
              <c:showLegendKey val="0"/>
              <c:showVal val="1"/>
              <c:showCatName val="0"/>
              <c:showSerName val="0"/>
              <c:showPercent val="0"/>
              <c:showBubbleSize val="0"/>
            </c:dLbl>
            <c:dLbl>
              <c:idx val="5"/>
              <c:spPr/>
              <c:txPr>
                <a:bodyPr/>
                <a:lstStyle/>
                <a:p>
                  <a:pPr algn="ctr">
                    <a:defRPr lang="el-GR" sz="1200" b="0" i="0" u="none" strike="noStrike" kern="1200" baseline="0">
                      <a:solidFill>
                        <a:prstClr val="black"/>
                      </a:solidFill>
                      <a:latin typeface="Calibri" panose="020F0502020204030204" pitchFamily="34" charset="0"/>
                      <a:ea typeface="+mn-ea"/>
                      <a:cs typeface="+mn-cs"/>
                    </a:defRPr>
                  </a:pPr>
                  <a:endParaRPr lang="el-GR"/>
                </a:p>
              </c:txPr>
              <c:showLegendKey val="0"/>
              <c:showVal val="1"/>
              <c:showCatName val="0"/>
              <c:showSerName val="0"/>
              <c:showPercent val="0"/>
              <c:showBubbleSize val="0"/>
            </c:dLbl>
            <c:spPr>
              <a:noFill/>
              <a:ln>
                <a:noFill/>
              </a:ln>
              <a:effectLst/>
            </c:spPr>
            <c:txPr>
              <a:bodyPr/>
              <a:lstStyle/>
              <a:p>
                <a:pPr>
                  <a:defRPr sz="1200">
                    <a:latin typeface="Calibri" panose="020F0502020204030204" pitchFamily="34" charset="0"/>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Φύλλο1!$A$2:$A$4</c:f>
              <c:strCache>
                <c:ptCount val="3"/>
                <c:pt idx="0">
                  <c:v>Όχι, δεν έχω κάνει ρύθμιση αν και έχω οφειλές</c:v>
                </c:pt>
                <c:pt idx="1">
                  <c:v>Ναι σε άλλη ρύθμιση (πχ πάγια)</c:v>
                </c:pt>
                <c:pt idx="2">
                  <c:v>Ναι, στις πρόσφατες ρυθμίσεις των 120 δόσεων (φορολογικές ασφαλιστικές – Μάιος  Ιούνιος 2019)</c:v>
                </c:pt>
              </c:strCache>
            </c:strRef>
          </c:cat>
          <c:val>
            <c:numRef>
              <c:f>Φύλλο1!$B$2:$B$4</c:f>
              <c:numCache>
                <c:formatCode>0.0</c:formatCode>
                <c:ptCount val="3"/>
                <c:pt idx="0">
                  <c:v>35.299999999999997</c:v>
                </c:pt>
                <c:pt idx="1">
                  <c:v>27.9</c:v>
                </c:pt>
                <c:pt idx="2">
                  <c:v>33.1</c:v>
                </c:pt>
              </c:numCache>
            </c:numRef>
          </c:val>
          <c:extLst xmlns:c16r2="http://schemas.microsoft.com/office/drawing/2015/06/chart">
            <c:ext xmlns:c16="http://schemas.microsoft.com/office/drawing/2014/chart" uri="{C3380CC4-5D6E-409C-BE32-E72D297353CC}">
              <c16:uniqueId val="{00000004-3901-4FEE-BFF8-50BA9E9D6588}"/>
            </c:ext>
          </c:extLst>
        </c:ser>
        <c:dLbls>
          <c:showLegendKey val="0"/>
          <c:showVal val="0"/>
          <c:showCatName val="0"/>
          <c:showSerName val="0"/>
          <c:showPercent val="0"/>
          <c:showBubbleSize val="0"/>
        </c:dLbls>
        <c:gapWidth val="72"/>
        <c:axId val="349017984"/>
        <c:axId val="349019520"/>
      </c:barChart>
      <c:catAx>
        <c:axId val="349017984"/>
        <c:scaling>
          <c:orientation val="minMax"/>
        </c:scaling>
        <c:delete val="0"/>
        <c:axPos val="l"/>
        <c:numFmt formatCode="General" sourceLinked="0"/>
        <c:majorTickMark val="out"/>
        <c:minorTickMark val="none"/>
        <c:tickLblPos val="nextTo"/>
        <c:txPr>
          <a:bodyPr/>
          <a:lstStyle/>
          <a:p>
            <a:pPr>
              <a:defRPr sz="1200">
                <a:latin typeface="Calibri" panose="020F0502020204030204" pitchFamily="34" charset="0"/>
              </a:defRPr>
            </a:pPr>
            <a:endParaRPr lang="el-GR"/>
          </a:p>
        </c:txPr>
        <c:crossAx val="349019520"/>
        <c:crosses val="autoZero"/>
        <c:auto val="1"/>
        <c:lblAlgn val="ctr"/>
        <c:lblOffset val="100"/>
        <c:noMultiLvlLbl val="0"/>
      </c:catAx>
      <c:valAx>
        <c:axId val="349019520"/>
        <c:scaling>
          <c:orientation val="minMax"/>
          <c:max val="60"/>
        </c:scaling>
        <c:delete val="0"/>
        <c:axPos val="b"/>
        <c:majorGridlines/>
        <c:numFmt formatCode="0.0" sourceLinked="1"/>
        <c:majorTickMark val="out"/>
        <c:minorTickMark val="none"/>
        <c:tickLblPos val="nextTo"/>
        <c:txPr>
          <a:bodyPr/>
          <a:lstStyle/>
          <a:p>
            <a:pPr>
              <a:defRPr sz="1200">
                <a:latin typeface="Calibri" panose="020F0502020204030204" pitchFamily="34" charset="0"/>
              </a:defRPr>
            </a:pPr>
            <a:endParaRPr lang="el-GR"/>
          </a:p>
        </c:txPr>
        <c:crossAx val="349017984"/>
        <c:crosses val="autoZero"/>
        <c:crossBetween val="between"/>
        <c:majorUnit val="20"/>
      </c:valAx>
    </c:plotArea>
    <c:plotVisOnly val="1"/>
    <c:dispBlanksAs val="gap"/>
    <c:showDLblsOverMax val="0"/>
  </c:chart>
  <c:txPr>
    <a:bodyPr/>
    <a:lstStyle/>
    <a:p>
      <a:pPr>
        <a:defRPr sz="1800"/>
      </a:pPr>
      <a:endParaRPr lang="el-GR"/>
    </a:p>
  </c:txPr>
  <c:externalData r:id="rId2">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l-GR" sz="1100" b="1" i="0" u="none" strike="noStrike" baseline="0">
                <a:effectLst/>
              </a:rPr>
              <a:t>Εκτιμάτε ότι το 2019 θα μπορέσετε να ανταποκριθείτε: στις φορολογικές σας υποχρεώσεις; (ΦΠΑ, ΦΜΥ κλπ)</a:t>
            </a:r>
            <a:endParaRPr lang="el-GR" sz="1100"/>
          </a:p>
        </c:rich>
      </c:tx>
      <c:layout>
        <c:manualLayout>
          <c:xMode val="edge"/>
          <c:yMode val="edge"/>
          <c:x val="0.10197907553222514"/>
          <c:y val="2.4305555555555556E-2"/>
        </c:manualLayout>
      </c:layout>
      <c:overlay val="0"/>
    </c:title>
    <c:autoTitleDeleted val="0"/>
    <c:plotArea>
      <c:layout/>
      <c:doughnutChart>
        <c:varyColors val="1"/>
        <c:ser>
          <c:idx val="0"/>
          <c:order val="0"/>
          <c:tx>
            <c:strRef>
              <c:f>Φύλλο1!$B$1</c:f>
              <c:strCache>
                <c:ptCount val="1"/>
                <c:pt idx="0">
                  <c:v>Πωλήσεις</c:v>
                </c:pt>
              </c:strCache>
            </c:strRef>
          </c:tx>
          <c:spPr>
            <a:ln>
              <a:solidFill>
                <a:schemeClr val="bg1"/>
              </a:solidFill>
            </a:ln>
          </c:spPr>
          <c:dPt>
            <c:idx val="0"/>
            <c:bubble3D val="0"/>
            <c:spPr>
              <a:solidFill>
                <a:schemeClr val="accent3">
                  <a:lumMod val="50000"/>
                </a:schemeClr>
              </a:solidFill>
              <a:ln>
                <a:solidFill>
                  <a:schemeClr val="bg1"/>
                </a:solidFill>
              </a:ln>
            </c:spPr>
            <c:extLst xmlns:c16r2="http://schemas.microsoft.com/office/drawing/2015/06/chart">
              <c:ext xmlns:c16="http://schemas.microsoft.com/office/drawing/2014/chart" uri="{C3380CC4-5D6E-409C-BE32-E72D297353CC}">
                <c16:uniqueId val="{00000001-4089-4361-93BC-76AB25BDE166}"/>
              </c:ext>
            </c:extLst>
          </c:dPt>
          <c:dPt>
            <c:idx val="1"/>
            <c:bubble3D val="0"/>
            <c:spPr>
              <a:solidFill>
                <a:schemeClr val="accent2">
                  <a:lumMod val="75000"/>
                </a:schemeClr>
              </a:solidFill>
              <a:ln>
                <a:solidFill>
                  <a:schemeClr val="bg1"/>
                </a:solidFill>
              </a:ln>
            </c:spPr>
            <c:extLst xmlns:c16r2="http://schemas.microsoft.com/office/drawing/2015/06/chart">
              <c:ext xmlns:c16="http://schemas.microsoft.com/office/drawing/2014/chart" uri="{C3380CC4-5D6E-409C-BE32-E72D297353CC}">
                <c16:uniqueId val="{00000003-4089-4361-93BC-76AB25BDE166}"/>
              </c:ext>
            </c:extLst>
          </c:dPt>
          <c:dPt>
            <c:idx val="2"/>
            <c:bubble3D val="0"/>
            <c:spPr>
              <a:solidFill>
                <a:schemeClr val="tx1">
                  <a:lumMod val="50000"/>
                  <a:lumOff val="50000"/>
                </a:schemeClr>
              </a:solidFill>
              <a:ln>
                <a:solidFill>
                  <a:schemeClr val="bg1"/>
                </a:solidFill>
              </a:ln>
            </c:spPr>
            <c:extLst xmlns:c16r2="http://schemas.microsoft.com/office/drawing/2015/06/chart">
              <c:ext xmlns:c16="http://schemas.microsoft.com/office/drawing/2014/chart" uri="{C3380CC4-5D6E-409C-BE32-E72D297353CC}">
                <c16:uniqueId val="{00000005-4089-4361-93BC-76AB25BDE166}"/>
              </c:ext>
            </c:extLst>
          </c:dPt>
          <c:dLbls>
            <c:dLbl>
              <c:idx val="0"/>
              <c:layout>
                <c:manualLayout>
                  <c:x val="0.11458316929133858"/>
                  <c:y val="-0.41875000000000001"/>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4089-4361-93BC-76AB25BDE166}"/>
                </c:ext>
              </c:extLst>
            </c:dLbl>
            <c:dLbl>
              <c:idx val="1"/>
              <c:layout>
                <c:manualLayout>
                  <c:x val="-0.12294256696173848"/>
                  <c:y val="-5.1425457782689442E-2"/>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4089-4361-93BC-76AB25BDE166}"/>
                </c:ext>
              </c:extLst>
            </c:dLbl>
            <c:dLbl>
              <c:idx val="2"/>
              <c:layout>
                <c:manualLayout>
                  <c:x val="-8.3333333333333343E-2"/>
                  <c:y val="-0.125"/>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4089-4361-93BC-76AB25BDE166}"/>
                </c:ext>
              </c:extLst>
            </c:dLbl>
            <c:dLbl>
              <c:idx val="3"/>
              <c:layout>
                <c:manualLayout>
                  <c:x val="-9.1666666666667757E-2"/>
                  <c:y val="-0.14375000000000004"/>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4089-4361-93BC-76AB25BDE166}"/>
                </c:ext>
              </c:extLst>
            </c:dLbl>
            <c:spPr>
              <a:noFill/>
              <a:ln>
                <a:noFill/>
              </a:ln>
              <a:effectLst/>
            </c:spPr>
            <c:txPr>
              <a:bodyPr/>
              <a:lstStyle/>
              <a:p>
                <a:pPr>
                  <a:defRPr sz="1200">
                    <a:latin typeface="Calibri" panose="020F0502020204030204" pitchFamily="34" charset="0"/>
                  </a:defRPr>
                </a:pPr>
                <a:endParaRPr lang="el-GR"/>
              </a:p>
            </c:txPr>
            <c:showLegendKey val="0"/>
            <c:showVal val="1"/>
            <c:showCatName val="1"/>
            <c:showSerName val="0"/>
            <c:showPercent val="0"/>
            <c:showBubbleSize val="0"/>
            <c:separator>
</c:separator>
            <c:showLeaderLines val="1"/>
            <c:extLst xmlns:c16r2="http://schemas.microsoft.com/office/drawing/2015/06/chart">
              <c:ext xmlns:c15="http://schemas.microsoft.com/office/drawing/2012/chart" uri="{CE6537A1-D6FC-4f65-9D91-7224C49458BB}"/>
            </c:extLst>
          </c:dLbls>
          <c:cat>
            <c:strRef>
              <c:f>Φύλλο1!$A$2:$A$4</c:f>
              <c:strCache>
                <c:ptCount val="3"/>
                <c:pt idx="0">
                  <c:v>Ναι</c:v>
                </c:pt>
                <c:pt idx="1">
                  <c:v>Όχι</c:v>
                </c:pt>
                <c:pt idx="2">
                  <c:v>ΔΑ</c:v>
                </c:pt>
              </c:strCache>
            </c:strRef>
          </c:cat>
          <c:val>
            <c:numRef>
              <c:f>Φύλλο1!$B$2:$B$4</c:f>
              <c:numCache>
                <c:formatCode>0.0</c:formatCode>
                <c:ptCount val="3"/>
                <c:pt idx="0">
                  <c:v>80.400000000000006</c:v>
                </c:pt>
                <c:pt idx="1">
                  <c:v>12.5</c:v>
                </c:pt>
                <c:pt idx="2">
                  <c:v>7.1</c:v>
                </c:pt>
              </c:numCache>
            </c:numRef>
          </c:val>
          <c:extLst xmlns:c16r2="http://schemas.microsoft.com/office/drawing/2015/06/chart">
            <c:ext xmlns:c16="http://schemas.microsoft.com/office/drawing/2014/chart" uri="{C3380CC4-5D6E-409C-BE32-E72D297353CC}">
              <c16:uniqueId val="{00000007-4089-4361-93BC-76AB25BDE166}"/>
            </c:ext>
          </c:extLst>
        </c:ser>
        <c:dLbls>
          <c:showLegendKey val="0"/>
          <c:showVal val="0"/>
          <c:showCatName val="0"/>
          <c:showSerName val="0"/>
          <c:showPercent val="0"/>
          <c:showBubbleSize val="0"/>
          <c:showLeaderLines val="1"/>
        </c:dLbls>
        <c:firstSliceAng val="0"/>
        <c:holeSize val="50"/>
      </c:doughnutChart>
    </c:plotArea>
    <c:plotVisOnly val="1"/>
    <c:dispBlanksAs val="zero"/>
    <c:showDLblsOverMax val="0"/>
  </c:chart>
  <c:txPr>
    <a:bodyPr/>
    <a:lstStyle/>
    <a:p>
      <a:pPr>
        <a:defRPr sz="1800"/>
      </a:pPr>
      <a:endParaRPr lang="el-GR"/>
    </a:p>
  </c:txPr>
  <c:externalData r:id="rId2">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l-GR" sz="1100" b="1" i="0" u="none" strike="noStrike" baseline="0">
                <a:effectLst/>
              </a:rPr>
              <a:t>Εκτιμάτε ότι το 2019 θα μπορέσετε να ανταποκριθείτε: στις ασφαλιστικές σας υποχρεώσεις; </a:t>
            </a:r>
            <a:endParaRPr lang="el-GR" sz="1100"/>
          </a:p>
        </c:rich>
      </c:tx>
      <c:overlay val="0"/>
    </c:title>
    <c:autoTitleDeleted val="0"/>
    <c:plotArea>
      <c:layout/>
      <c:doughnutChart>
        <c:varyColors val="1"/>
        <c:ser>
          <c:idx val="0"/>
          <c:order val="0"/>
          <c:tx>
            <c:strRef>
              <c:f>Φύλλο1!$B$1</c:f>
              <c:strCache>
                <c:ptCount val="1"/>
                <c:pt idx="0">
                  <c:v>Πωλήσεις</c:v>
                </c:pt>
              </c:strCache>
            </c:strRef>
          </c:tx>
          <c:spPr>
            <a:ln>
              <a:solidFill>
                <a:schemeClr val="bg1"/>
              </a:solidFill>
            </a:ln>
          </c:spPr>
          <c:dPt>
            <c:idx val="0"/>
            <c:bubble3D val="0"/>
            <c:spPr>
              <a:solidFill>
                <a:schemeClr val="accent3">
                  <a:lumMod val="50000"/>
                </a:schemeClr>
              </a:solidFill>
              <a:ln>
                <a:solidFill>
                  <a:schemeClr val="bg1"/>
                </a:solidFill>
              </a:ln>
            </c:spPr>
            <c:extLst xmlns:c16r2="http://schemas.microsoft.com/office/drawing/2015/06/chart">
              <c:ext xmlns:c16="http://schemas.microsoft.com/office/drawing/2014/chart" uri="{C3380CC4-5D6E-409C-BE32-E72D297353CC}">
                <c16:uniqueId val="{00000001-75C6-46D3-BF27-5F0D3F4B647F}"/>
              </c:ext>
            </c:extLst>
          </c:dPt>
          <c:dPt>
            <c:idx val="1"/>
            <c:bubble3D val="0"/>
            <c:spPr>
              <a:solidFill>
                <a:schemeClr val="accent2">
                  <a:lumMod val="75000"/>
                </a:schemeClr>
              </a:solidFill>
              <a:ln>
                <a:solidFill>
                  <a:schemeClr val="bg1"/>
                </a:solidFill>
              </a:ln>
            </c:spPr>
            <c:extLst xmlns:c16r2="http://schemas.microsoft.com/office/drawing/2015/06/chart">
              <c:ext xmlns:c16="http://schemas.microsoft.com/office/drawing/2014/chart" uri="{C3380CC4-5D6E-409C-BE32-E72D297353CC}">
                <c16:uniqueId val="{00000003-75C6-46D3-BF27-5F0D3F4B647F}"/>
              </c:ext>
            </c:extLst>
          </c:dPt>
          <c:dPt>
            <c:idx val="2"/>
            <c:bubble3D val="0"/>
            <c:spPr>
              <a:solidFill>
                <a:schemeClr val="tx1">
                  <a:lumMod val="50000"/>
                  <a:lumOff val="50000"/>
                </a:schemeClr>
              </a:solidFill>
              <a:ln>
                <a:solidFill>
                  <a:schemeClr val="bg1"/>
                </a:solidFill>
              </a:ln>
            </c:spPr>
            <c:extLst xmlns:c16r2="http://schemas.microsoft.com/office/drawing/2015/06/chart">
              <c:ext xmlns:c16="http://schemas.microsoft.com/office/drawing/2014/chart" uri="{C3380CC4-5D6E-409C-BE32-E72D297353CC}">
                <c16:uniqueId val="{00000005-75C6-46D3-BF27-5F0D3F4B647F}"/>
              </c:ext>
            </c:extLst>
          </c:dPt>
          <c:dLbls>
            <c:dLbl>
              <c:idx val="0"/>
              <c:layout>
                <c:manualLayout>
                  <c:x val="0.15342739049114462"/>
                  <c:y val="-0.4429802726272119"/>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75C6-46D3-BF27-5F0D3F4B647F}"/>
                </c:ext>
              </c:extLst>
            </c:dLbl>
            <c:dLbl>
              <c:idx val="1"/>
              <c:layout>
                <c:manualLayout>
                  <c:x val="-0.12317362089269633"/>
                  <c:y val="-5.4801918088684662E-2"/>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75C6-46D3-BF27-5F0D3F4B647F}"/>
                </c:ext>
              </c:extLst>
            </c:dLbl>
            <c:dLbl>
              <c:idx val="2"/>
              <c:layout>
                <c:manualLayout>
                  <c:x val="-4.2919004625888039E-2"/>
                  <c:y val="-0.11953510210050723"/>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75C6-46D3-BF27-5F0D3F4B647F}"/>
                </c:ext>
              </c:extLst>
            </c:dLbl>
            <c:dLbl>
              <c:idx val="3"/>
              <c:layout>
                <c:manualLayout>
                  <c:x val="-9.1666666666667757E-2"/>
                  <c:y val="-0.14375000000000004"/>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75C6-46D3-BF27-5F0D3F4B647F}"/>
                </c:ext>
              </c:extLst>
            </c:dLbl>
            <c:spPr>
              <a:noFill/>
              <a:ln>
                <a:noFill/>
              </a:ln>
              <a:effectLst/>
            </c:spPr>
            <c:txPr>
              <a:bodyPr/>
              <a:lstStyle/>
              <a:p>
                <a:pPr>
                  <a:defRPr sz="1200">
                    <a:latin typeface="Calibri" panose="020F0502020204030204" pitchFamily="34" charset="0"/>
                  </a:defRPr>
                </a:pPr>
                <a:endParaRPr lang="el-GR"/>
              </a:p>
            </c:txPr>
            <c:showLegendKey val="0"/>
            <c:showVal val="1"/>
            <c:showCatName val="1"/>
            <c:showSerName val="0"/>
            <c:showPercent val="0"/>
            <c:showBubbleSize val="0"/>
            <c:separator>
</c:separator>
            <c:showLeaderLines val="1"/>
            <c:extLst xmlns:c16r2="http://schemas.microsoft.com/office/drawing/2015/06/chart">
              <c:ext xmlns:c15="http://schemas.microsoft.com/office/drawing/2012/chart" uri="{CE6537A1-D6FC-4f65-9D91-7224C49458BB}"/>
            </c:extLst>
          </c:dLbls>
          <c:cat>
            <c:strRef>
              <c:f>Φύλλο1!$A$2:$A$4</c:f>
              <c:strCache>
                <c:ptCount val="3"/>
                <c:pt idx="0">
                  <c:v>Ναι</c:v>
                </c:pt>
                <c:pt idx="1">
                  <c:v>Όχι</c:v>
                </c:pt>
                <c:pt idx="2">
                  <c:v>ΔΑ</c:v>
                </c:pt>
              </c:strCache>
            </c:strRef>
          </c:cat>
          <c:val>
            <c:numRef>
              <c:f>Φύλλο1!$B$2:$B$4</c:f>
              <c:numCache>
                <c:formatCode>0.0</c:formatCode>
                <c:ptCount val="3"/>
                <c:pt idx="0">
                  <c:v>80.400000000000006</c:v>
                </c:pt>
                <c:pt idx="1">
                  <c:v>12.9</c:v>
                </c:pt>
                <c:pt idx="2">
                  <c:v>6.7</c:v>
                </c:pt>
              </c:numCache>
            </c:numRef>
          </c:val>
          <c:extLst xmlns:c16r2="http://schemas.microsoft.com/office/drawing/2015/06/chart">
            <c:ext xmlns:c16="http://schemas.microsoft.com/office/drawing/2014/chart" uri="{C3380CC4-5D6E-409C-BE32-E72D297353CC}">
              <c16:uniqueId val="{00000007-75C6-46D3-BF27-5F0D3F4B647F}"/>
            </c:ext>
          </c:extLst>
        </c:ser>
        <c:dLbls>
          <c:showLegendKey val="0"/>
          <c:showVal val="0"/>
          <c:showCatName val="0"/>
          <c:showSerName val="0"/>
          <c:showPercent val="0"/>
          <c:showBubbleSize val="0"/>
          <c:showLeaderLines val="1"/>
        </c:dLbls>
        <c:firstSliceAng val="0"/>
        <c:holeSize val="50"/>
      </c:doughnutChart>
    </c:plotArea>
    <c:plotVisOnly val="1"/>
    <c:dispBlanksAs val="zero"/>
    <c:showDLblsOverMax val="0"/>
  </c:chart>
  <c:txPr>
    <a:bodyPr/>
    <a:lstStyle/>
    <a:p>
      <a:pPr>
        <a:defRPr sz="1800"/>
      </a:pPr>
      <a:endParaRPr lang="el-GR"/>
    </a:p>
  </c:txPr>
  <c:externalData r:id="rId2">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l-GR" sz="1100" b="1" i="0" u="none" strike="noStrike" baseline="0">
                <a:effectLst/>
              </a:rPr>
              <a:t>Η επιχείρησή σας έχει κάποιο δάνειο σε τράπεζα;</a:t>
            </a:r>
            <a:endParaRPr lang="el-GR" sz="1100"/>
          </a:p>
        </c:rich>
      </c:tx>
      <c:overlay val="0"/>
    </c:title>
    <c:autoTitleDeleted val="0"/>
    <c:plotArea>
      <c:layout>
        <c:manualLayout>
          <c:layoutTarget val="inner"/>
          <c:xMode val="edge"/>
          <c:yMode val="edge"/>
          <c:x val="0.23125000000000001"/>
          <c:y val="0.19375000000000001"/>
          <c:w val="0.53749999999999998"/>
          <c:h val="0.80625000000000002"/>
        </c:manualLayout>
      </c:layout>
      <c:doughnutChart>
        <c:varyColors val="1"/>
        <c:ser>
          <c:idx val="0"/>
          <c:order val="0"/>
          <c:tx>
            <c:strRef>
              <c:f>Φύλλο1!$B$1</c:f>
              <c:strCache>
                <c:ptCount val="1"/>
                <c:pt idx="0">
                  <c:v>Πωλήσεις</c:v>
                </c:pt>
              </c:strCache>
            </c:strRef>
          </c:tx>
          <c:spPr>
            <a:ln>
              <a:solidFill>
                <a:schemeClr val="bg1"/>
              </a:solidFill>
            </a:ln>
          </c:spPr>
          <c:dPt>
            <c:idx val="0"/>
            <c:bubble3D val="0"/>
            <c:spPr>
              <a:solidFill>
                <a:schemeClr val="accent3">
                  <a:lumMod val="50000"/>
                </a:schemeClr>
              </a:solidFill>
              <a:ln>
                <a:solidFill>
                  <a:schemeClr val="bg1"/>
                </a:solidFill>
              </a:ln>
            </c:spPr>
            <c:extLst xmlns:c16r2="http://schemas.microsoft.com/office/drawing/2015/06/chart">
              <c:ext xmlns:c16="http://schemas.microsoft.com/office/drawing/2014/chart" uri="{C3380CC4-5D6E-409C-BE32-E72D297353CC}">
                <c16:uniqueId val="{00000001-19F9-4E38-929E-8F73001CABD2}"/>
              </c:ext>
            </c:extLst>
          </c:dPt>
          <c:dPt>
            <c:idx val="1"/>
            <c:bubble3D val="0"/>
            <c:spPr>
              <a:solidFill>
                <a:schemeClr val="accent2">
                  <a:lumMod val="75000"/>
                </a:schemeClr>
              </a:solidFill>
              <a:ln>
                <a:solidFill>
                  <a:schemeClr val="bg1"/>
                </a:solidFill>
              </a:ln>
            </c:spPr>
            <c:extLst xmlns:c16r2="http://schemas.microsoft.com/office/drawing/2015/06/chart">
              <c:ext xmlns:c16="http://schemas.microsoft.com/office/drawing/2014/chart" uri="{C3380CC4-5D6E-409C-BE32-E72D297353CC}">
                <c16:uniqueId val="{00000003-19F9-4E38-929E-8F73001CABD2}"/>
              </c:ext>
            </c:extLst>
          </c:dPt>
          <c:dLbls>
            <c:dLbl>
              <c:idx val="0"/>
              <c:layout>
                <c:manualLayout>
                  <c:x val="7.2916666666666824E-2"/>
                  <c:y val="-0.16875000000000001"/>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19F9-4E38-929E-8F73001CABD2}"/>
                </c:ext>
              </c:extLst>
            </c:dLbl>
            <c:dLbl>
              <c:idx val="1"/>
              <c:layout>
                <c:manualLayout>
                  <c:x val="-0.11666666666666672"/>
                  <c:y val="-0.36250000000000032"/>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19F9-4E38-929E-8F73001CABD2}"/>
                </c:ext>
              </c:extLst>
            </c:dLbl>
            <c:dLbl>
              <c:idx val="2"/>
              <c:layout>
                <c:manualLayout>
                  <c:x val="-1.0416830708661421E-2"/>
                  <c:y val="-0.19062499999999988"/>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19F9-4E38-929E-8F73001CABD2}"/>
                </c:ext>
              </c:extLst>
            </c:dLbl>
            <c:dLbl>
              <c:idx val="3"/>
              <c:layout>
                <c:manualLayout>
                  <c:x val="-9.1666666666667757E-2"/>
                  <c:y val="-0.14375000000000004"/>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19F9-4E38-929E-8F73001CABD2}"/>
                </c:ext>
              </c:extLst>
            </c:dLbl>
            <c:spPr>
              <a:noFill/>
              <a:ln>
                <a:noFill/>
              </a:ln>
              <a:effectLst/>
            </c:spPr>
            <c:txPr>
              <a:bodyPr/>
              <a:lstStyle/>
              <a:p>
                <a:pPr>
                  <a:defRPr sz="1400">
                    <a:latin typeface="Calibri" panose="020F0502020204030204" pitchFamily="34" charset="0"/>
                  </a:defRPr>
                </a:pPr>
                <a:endParaRPr lang="el-GR"/>
              </a:p>
            </c:txPr>
            <c:showLegendKey val="0"/>
            <c:showVal val="1"/>
            <c:showCatName val="1"/>
            <c:showSerName val="0"/>
            <c:showPercent val="0"/>
            <c:showBubbleSize val="0"/>
            <c:separator>
</c:separator>
            <c:showLeaderLines val="1"/>
            <c:extLst xmlns:c16r2="http://schemas.microsoft.com/office/drawing/2015/06/chart">
              <c:ext xmlns:c15="http://schemas.microsoft.com/office/drawing/2012/chart" uri="{CE6537A1-D6FC-4f65-9D91-7224C49458BB}"/>
            </c:extLst>
          </c:dLbls>
          <c:cat>
            <c:strRef>
              <c:f>Φύλλο1!$A$2:$A$3</c:f>
              <c:strCache>
                <c:ptCount val="2"/>
                <c:pt idx="0">
                  <c:v>Ναι</c:v>
                </c:pt>
                <c:pt idx="1">
                  <c:v>Όχι</c:v>
                </c:pt>
              </c:strCache>
            </c:strRef>
          </c:cat>
          <c:val>
            <c:numRef>
              <c:f>Φύλλο1!$B$2:$B$3</c:f>
              <c:numCache>
                <c:formatCode>0.0</c:formatCode>
                <c:ptCount val="2"/>
                <c:pt idx="0">
                  <c:v>28.7</c:v>
                </c:pt>
                <c:pt idx="1">
                  <c:v>71.3</c:v>
                </c:pt>
              </c:numCache>
            </c:numRef>
          </c:val>
          <c:extLst xmlns:c16r2="http://schemas.microsoft.com/office/drawing/2015/06/chart">
            <c:ext xmlns:c16="http://schemas.microsoft.com/office/drawing/2014/chart" uri="{C3380CC4-5D6E-409C-BE32-E72D297353CC}">
              <c16:uniqueId val="{00000006-19F9-4E38-929E-8F73001CABD2}"/>
            </c:ext>
          </c:extLst>
        </c:ser>
        <c:dLbls>
          <c:showLegendKey val="0"/>
          <c:showVal val="0"/>
          <c:showCatName val="0"/>
          <c:showSerName val="0"/>
          <c:showPercent val="0"/>
          <c:showBubbleSize val="0"/>
          <c:showLeaderLines val="1"/>
        </c:dLbls>
        <c:firstSliceAng val="0"/>
        <c:holeSize val="50"/>
      </c:doughnutChart>
    </c:plotArea>
    <c:plotVisOnly val="1"/>
    <c:dispBlanksAs val="zero"/>
    <c:showDLblsOverMax val="0"/>
  </c:chart>
  <c:txPr>
    <a:bodyPr/>
    <a:lstStyle/>
    <a:p>
      <a:pPr>
        <a:defRPr sz="1800"/>
      </a:pPr>
      <a:endParaRPr lang="el-GR"/>
    </a:p>
  </c:txPr>
  <c:externalData r:id="rId2">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l-GR" sz="1100" b="1" i="0" u="none" strike="noStrike" baseline="0">
                <a:effectLst/>
              </a:rPr>
              <a:t>Εχετε καθυστερημένες οφειλές σε τράπεζες;</a:t>
            </a:r>
            <a:br>
              <a:rPr lang="el-GR" sz="1100" b="1" i="0" u="none" strike="noStrike" baseline="0">
                <a:effectLst/>
              </a:rPr>
            </a:br>
            <a:r>
              <a:rPr lang="el-GR" sz="1100" b="1" i="0" u="none" strike="noStrike" baseline="0">
                <a:effectLst/>
              </a:rPr>
              <a:t>ΒΑΣΗ: Όσοι έχουν δάνειο σε τράπεζα</a:t>
            </a:r>
            <a:endParaRPr lang="el-GR" sz="1100"/>
          </a:p>
        </c:rich>
      </c:tx>
      <c:overlay val="0"/>
    </c:title>
    <c:autoTitleDeleted val="0"/>
    <c:plotArea>
      <c:layout>
        <c:manualLayout>
          <c:layoutTarget val="inner"/>
          <c:xMode val="edge"/>
          <c:yMode val="edge"/>
          <c:x val="0.2474537037037037"/>
          <c:y val="0.26145833333333335"/>
          <c:w val="0.44722222222222224"/>
          <c:h val="0.67083333333333328"/>
        </c:manualLayout>
      </c:layout>
      <c:doughnutChart>
        <c:varyColors val="1"/>
        <c:ser>
          <c:idx val="0"/>
          <c:order val="0"/>
          <c:tx>
            <c:strRef>
              <c:f>Φύλλο1!$B$1</c:f>
              <c:strCache>
                <c:ptCount val="1"/>
                <c:pt idx="0">
                  <c:v>Πωλήσεις</c:v>
                </c:pt>
              </c:strCache>
            </c:strRef>
          </c:tx>
          <c:spPr>
            <a:ln>
              <a:solidFill>
                <a:schemeClr val="bg1"/>
              </a:solidFill>
            </a:ln>
          </c:spPr>
          <c:dPt>
            <c:idx val="0"/>
            <c:bubble3D val="0"/>
            <c:spPr>
              <a:solidFill>
                <a:schemeClr val="accent3">
                  <a:lumMod val="50000"/>
                </a:schemeClr>
              </a:solidFill>
              <a:ln>
                <a:solidFill>
                  <a:schemeClr val="bg1"/>
                </a:solidFill>
              </a:ln>
            </c:spPr>
            <c:extLst xmlns:c16r2="http://schemas.microsoft.com/office/drawing/2015/06/chart">
              <c:ext xmlns:c16="http://schemas.microsoft.com/office/drawing/2014/chart" uri="{C3380CC4-5D6E-409C-BE32-E72D297353CC}">
                <c16:uniqueId val="{00000001-42B3-4909-B553-C4FD476BBBBB}"/>
              </c:ext>
            </c:extLst>
          </c:dPt>
          <c:dPt>
            <c:idx val="1"/>
            <c:bubble3D val="0"/>
            <c:spPr>
              <a:solidFill>
                <a:schemeClr val="accent2">
                  <a:lumMod val="75000"/>
                </a:schemeClr>
              </a:solidFill>
              <a:ln>
                <a:solidFill>
                  <a:schemeClr val="bg1"/>
                </a:solidFill>
              </a:ln>
            </c:spPr>
            <c:extLst xmlns:c16r2="http://schemas.microsoft.com/office/drawing/2015/06/chart">
              <c:ext xmlns:c16="http://schemas.microsoft.com/office/drawing/2014/chart" uri="{C3380CC4-5D6E-409C-BE32-E72D297353CC}">
                <c16:uniqueId val="{00000003-42B3-4909-B553-C4FD476BBBBB}"/>
              </c:ext>
            </c:extLst>
          </c:dPt>
          <c:dPt>
            <c:idx val="2"/>
            <c:bubble3D val="0"/>
            <c:spPr>
              <a:solidFill>
                <a:schemeClr val="tx1">
                  <a:lumMod val="50000"/>
                  <a:lumOff val="50000"/>
                </a:schemeClr>
              </a:solidFill>
              <a:ln>
                <a:solidFill>
                  <a:schemeClr val="bg1"/>
                </a:solidFill>
              </a:ln>
            </c:spPr>
            <c:extLst xmlns:c16r2="http://schemas.microsoft.com/office/drawing/2015/06/chart">
              <c:ext xmlns:c16="http://schemas.microsoft.com/office/drawing/2014/chart" uri="{C3380CC4-5D6E-409C-BE32-E72D297353CC}">
                <c16:uniqueId val="{00000005-42B3-4909-B553-C4FD476BBBBB}"/>
              </c:ext>
            </c:extLst>
          </c:dPt>
          <c:dLbls>
            <c:dLbl>
              <c:idx val="0"/>
              <c:layout>
                <c:manualLayout>
                  <c:x val="5.9672326115485563E-2"/>
                  <c:y val="-0.12708360673665786"/>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42B3-4909-B553-C4FD476BBBBB}"/>
                </c:ext>
              </c:extLst>
            </c:dLbl>
            <c:dLbl>
              <c:idx val="1"/>
              <c:layout>
                <c:manualLayout>
                  <c:x val="-8.4970238095238099E-2"/>
                  <c:y val="-0.13645860673665799"/>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42B3-4909-B553-C4FD476BBBBB}"/>
                </c:ext>
              </c:extLst>
            </c:dLbl>
            <c:dLbl>
              <c:idx val="2"/>
              <c:layout>
                <c:manualLayout>
                  <c:x val="-1.2731481481481481E-2"/>
                  <c:y val="-0.14097222222222222"/>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42B3-4909-B553-C4FD476BBBBB}"/>
                </c:ext>
              </c:extLst>
            </c:dLbl>
            <c:dLbl>
              <c:idx val="3"/>
              <c:layout>
                <c:manualLayout>
                  <c:x val="-9.1666666666667757E-2"/>
                  <c:y val="-0.14375000000000004"/>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42B3-4909-B553-C4FD476BBBBB}"/>
                </c:ext>
              </c:extLst>
            </c:dLbl>
            <c:spPr>
              <a:noFill/>
              <a:ln>
                <a:noFill/>
              </a:ln>
              <a:effectLst/>
            </c:spPr>
            <c:txPr>
              <a:bodyPr/>
              <a:lstStyle/>
              <a:p>
                <a:pPr>
                  <a:defRPr sz="1200">
                    <a:latin typeface="Calibri" panose="020F0502020204030204" pitchFamily="34" charset="0"/>
                  </a:defRPr>
                </a:pPr>
                <a:endParaRPr lang="el-GR"/>
              </a:p>
            </c:txPr>
            <c:showLegendKey val="0"/>
            <c:showVal val="1"/>
            <c:showCatName val="1"/>
            <c:showSerName val="0"/>
            <c:showPercent val="0"/>
            <c:showBubbleSize val="0"/>
            <c:separator>
</c:separator>
            <c:showLeaderLines val="1"/>
            <c:extLst xmlns:c16r2="http://schemas.microsoft.com/office/drawing/2015/06/chart">
              <c:ext xmlns:c15="http://schemas.microsoft.com/office/drawing/2012/chart" uri="{CE6537A1-D6FC-4f65-9D91-7224C49458BB}"/>
            </c:extLst>
          </c:dLbls>
          <c:cat>
            <c:strRef>
              <c:f>Φύλλο1!$A$2:$A$3</c:f>
              <c:strCache>
                <c:ptCount val="2"/>
                <c:pt idx="0">
                  <c:v>Ναι </c:v>
                </c:pt>
                <c:pt idx="1">
                  <c:v>Όχι</c:v>
                </c:pt>
              </c:strCache>
            </c:strRef>
          </c:cat>
          <c:val>
            <c:numRef>
              <c:f>Φύλλο1!$B$2:$B$3</c:f>
              <c:numCache>
                <c:formatCode>###0.0</c:formatCode>
                <c:ptCount val="2"/>
                <c:pt idx="0">
                  <c:v>51.1</c:v>
                </c:pt>
                <c:pt idx="1">
                  <c:v>48.9</c:v>
                </c:pt>
              </c:numCache>
            </c:numRef>
          </c:val>
          <c:extLst xmlns:c16r2="http://schemas.microsoft.com/office/drawing/2015/06/chart">
            <c:ext xmlns:c16="http://schemas.microsoft.com/office/drawing/2014/chart" uri="{C3380CC4-5D6E-409C-BE32-E72D297353CC}">
              <c16:uniqueId val="{00000007-42B3-4909-B553-C4FD476BBBBB}"/>
            </c:ext>
          </c:extLst>
        </c:ser>
        <c:dLbls>
          <c:showLegendKey val="0"/>
          <c:showVal val="0"/>
          <c:showCatName val="0"/>
          <c:showSerName val="0"/>
          <c:showPercent val="0"/>
          <c:showBubbleSize val="0"/>
          <c:showLeaderLines val="1"/>
        </c:dLbls>
        <c:firstSliceAng val="0"/>
        <c:holeSize val="50"/>
      </c:doughnutChart>
    </c:plotArea>
    <c:plotVisOnly val="1"/>
    <c:dispBlanksAs val="zero"/>
    <c:showDLblsOverMax val="0"/>
  </c:chart>
  <c:txPr>
    <a:bodyPr/>
    <a:lstStyle/>
    <a:p>
      <a:pPr>
        <a:defRPr sz="1800"/>
      </a:pPr>
      <a:endParaRPr lang="el-GR"/>
    </a:p>
  </c:txPr>
  <c:externalData r:id="rId2">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l-GR" sz="1100" b="1" i="0" u="none" strike="noStrike" baseline="0">
                <a:effectLst/>
              </a:rPr>
              <a:t>Γραφημα 27: Καθυστερημένες οφειλές (1/2011-7/2019) σε: </a:t>
            </a:r>
            <a:br>
              <a:rPr lang="el-GR" sz="1100" b="1" i="0" u="none" strike="noStrike" baseline="0">
                <a:effectLst/>
              </a:rPr>
            </a:br>
            <a:endParaRPr lang="el-GR" sz="1100"/>
          </a:p>
        </c:rich>
      </c:tx>
      <c:layout>
        <c:manualLayout>
          <c:xMode val="edge"/>
          <c:yMode val="edge"/>
          <c:x val="0.19195487468828301"/>
          <c:y val="1.7998560115190784E-2"/>
        </c:manualLayout>
      </c:layout>
      <c:overlay val="0"/>
    </c:title>
    <c:autoTitleDeleted val="0"/>
    <c:plotArea>
      <c:layout>
        <c:manualLayout>
          <c:layoutTarget val="inner"/>
          <c:xMode val="edge"/>
          <c:yMode val="edge"/>
          <c:x val="0.20219198790627363"/>
          <c:y val="0.12707238539027113"/>
          <c:w val="0.77702191987906277"/>
          <c:h val="0.72284371580982187"/>
        </c:manualLayout>
      </c:layout>
      <c:lineChart>
        <c:grouping val="stacked"/>
        <c:varyColors val="0"/>
        <c:ser>
          <c:idx val="0"/>
          <c:order val="0"/>
          <c:tx>
            <c:strRef>
              <c:f>Φύλλο1!$B$1</c:f>
              <c:strCache>
                <c:ptCount val="1"/>
                <c:pt idx="0">
                  <c:v>Ενοικίου</c:v>
                </c:pt>
              </c:strCache>
            </c:strRef>
          </c:tx>
          <c:marker>
            <c:symbol val="none"/>
          </c:marker>
          <c:dPt>
            <c:idx val="0"/>
            <c:bubble3D val="0"/>
            <c:extLst xmlns:c16r2="http://schemas.microsoft.com/office/drawing/2015/06/chart">
              <c:ext xmlns:c16="http://schemas.microsoft.com/office/drawing/2014/chart" uri="{C3380CC4-5D6E-409C-BE32-E72D297353CC}">
                <c16:uniqueId val="{00000000-FE5B-4195-95A9-048A07B1B27B}"/>
              </c:ext>
            </c:extLst>
          </c:dPt>
          <c:dPt>
            <c:idx val="2"/>
            <c:bubble3D val="0"/>
            <c:extLst xmlns:c16r2="http://schemas.microsoft.com/office/drawing/2015/06/chart">
              <c:ext xmlns:c16="http://schemas.microsoft.com/office/drawing/2014/chart" uri="{C3380CC4-5D6E-409C-BE32-E72D297353CC}">
                <c16:uniqueId val="{00000001-FE5B-4195-95A9-048A07B1B27B}"/>
              </c:ext>
            </c:extLst>
          </c:dPt>
          <c:dPt>
            <c:idx val="4"/>
            <c:bubble3D val="0"/>
            <c:extLst xmlns:c16r2="http://schemas.microsoft.com/office/drawing/2015/06/chart">
              <c:ext xmlns:c16="http://schemas.microsoft.com/office/drawing/2014/chart" uri="{C3380CC4-5D6E-409C-BE32-E72D297353CC}">
                <c16:uniqueId val="{00000002-FE5B-4195-95A9-048A07B1B27B}"/>
              </c:ext>
            </c:extLst>
          </c:dPt>
          <c:dPt>
            <c:idx val="6"/>
            <c:bubble3D val="0"/>
            <c:extLst xmlns:c16r2="http://schemas.microsoft.com/office/drawing/2015/06/chart">
              <c:ext xmlns:c16="http://schemas.microsoft.com/office/drawing/2014/chart" uri="{C3380CC4-5D6E-409C-BE32-E72D297353CC}">
                <c16:uniqueId val="{00000003-FE5B-4195-95A9-048A07B1B27B}"/>
              </c:ext>
            </c:extLst>
          </c:dPt>
          <c:dPt>
            <c:idx val="8"/>
            <c:bubble3D val="0"/>
            <c:extLst xmlns:c16r2="http://schemas.microsoft.com/office/drawing/2015/06/chart">
              <c:ext xmlns:c16="http://schemas.microsoft.com/office/drawing/2014/chart" uri="{C3380CC4-5D6E-409C-BE32-E72D297353CC}">
                <c16:uniqueId val="{00000004-FE5B-4195-95A9-048A07B1B27B}"/>
              </c:ext>
            </c:extLst>
          </c:dPt>
          <c:dPt>
            <c:idx val="10"/>
            <c:bubble3D val="0"/>
            <c:extLst xmlns:c16r2="http://schemas.microsoft.com/office/drawing/2015/06/chart">
              <c:ext xmlns:c16="http://schemas.microsoft.com/office/drawing/2014/chart" uri="{C3380CC4-5D6E-409C-BE32-E72D297353CC}">
                <c16:uniqueId val="{00000005-FE5B-4195-95A9-048A07B1B27B}"/>
              </c:ext>
            </c:extLst>
          </c:dPt>
          <c:dPt>
            <c:idx val="12"/>
            <c:bubble3D val="0"/>
            <c:extLst xmlns:c16r2="http://schemas.microsoft.com/office/drawing/2015/06/chart">
              <c:ext xmlns:c16="http://schemas.microsoft.com/office/drawing/2014/chart" uri="{C3380CC4-5D6E-409C-BE32-E72D297353CC}">
                <c16:uniqueId val="{00000006-FE5B-4195-95A9-048A07B1B27B}"/>
              </c:ext>
            </c:extLst>
          </c:dPt>
          <c:dPt>
            <c:idx val="14"/>
            <c:bubble3D val="0"/>
            <c:extLst xmlns:c16r2="http://schemas.microsoft.com/office/drawing/2015/06/chart">
              <c:ext xmlns:c16="http://schemas.microsoft.com/office/drawing/2014/chart" uri="{C3380CC4-5D6E-409C-BE32-E72D297353CC}">
                <c16:uniqueId val="{00000007-FE5B-4195-95A9-048A07B1B27B}"/>
              </c:ext>
            </c:extLst>
          </c:dPt>
          <c:dLbls>
            <c:spPr>
              <a:noFill/>
              <a:ln>
                <a:noFill/>
              </a:ln>
              <a:effectLst/>
            </c:spPr>
            <c:txPr>
              <a:bodyPr/>
              <a:lstStyle/>
              <a:p>
                <a:pPr>
                  <a:defRPr sz="800">
                    <a:latin typeface="Calibri" panose="020F0502020204030204" pitchFamily="34" charset="0"/>
                  </a:defRPr>
                </a:pPr>
                <a:endParaRPr lang="el-GR"/>
              </a:p>
            </c:txPr>
            <c:dLblPos val="b"/>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Φύλλο1!$A$2:$A$19</c:f>
              <c:strCache>
                <c:ptCount val="18"/>
                <c:pt idx="0">
                  <c:v>ΙΑΝ. 2011</c:v>
                </c:pt>
                <c:pt idx="1">
                  <c:v>ΙΟΥΛ. 2011</c:v>
                </c:pt>
                <c:pt idx="2">
                  <c:v>ΙΑΝ. 2012</c:v>
                </c:pt>
                <c:pt idx="3">
                  <c:v>ΙΟΥΛ. 2012</c:v>
                </c:pt>
                <c:pt idx="4">
                  <c:v>ΙΑΝ. 2013</c:v>
                </c:pt>
                <c:pt idx="5">
                  <c:v>ΙΟΥΛ. 2013</c:v>
                </c:pt>
                <c:pt idx="6">
                  <c:v>ΦΕΒΡ. 2014</c:v>
                </c:pt>
                <c:pt idx="7">
                  <c:v>ΙΟΥΛ. 2014</c:v>
                </c:pt>
                <c:pt idx="8">
                  <c:v>ΦΕΒΡ. 2015</c:v>
                </c:pt>
                <c:pt idx="9">
                  <c:v>ΙΟΥΛ. 2015</c:v>
                </c:pt>
                <c:pt idx="10">
                  <c:v>ΦΕΒΡ. 2016</c:v>
                </c:pt>
                <c:pt idx="11">
                  <c:v>ΙΟΥΛ. 2016</c:v>
                </c:pt>
                <c:pt idx="12">
                  <c:v>ΦΕΒΡ. 2017</c:v>
                </c:pt>
                <c:pt idx="13">
                  <c:v>ΙΟΥΛ. 2017</c:v>
                </c:pt>
                <c:pt idx="14">
                  <c:v>ΦΕΒΡ. 2018</c:v>
                </c:pt>
                <c:pt idx="15">
                  <c:v>ΙΟΥΛ. 2018</c:v>
                </c:pt>
                <c:pt idx="16">
                  <c:v>ΦΕΒΡ. 2019</c:v>
                </c:pt>
                <c:pt idx="17">
                  <c:v>ΙΟΥΛ. 2019</c:v>
                </c:pt>
              </c:strCache>
            </c:strRef>
          </c:cat>
          <c:val>
            <c:numRef>
              <c:f>Φύλλο1!$B$2:$B$19</c:f>
              <c:numCache>
                <c:formatCode>General</c:formatCode>
                <c:ptCount val="18"/>
                <c:pt idx="0">
                  <c:v>29.3</c:v>
                </c:pt>
                <c:pt idx="1">
                  <c:v>27.3</c:v>
                </c:pt>
                <c:pt idx="2">
                  <c:v>27.8</c:v>
                </c:pt>
                <c:pt idx="3">
                  <c:v>31.1</c:v>
                </c:pt>
                <c:pt idx="4">
                  <c:v>31.6</c:v>
                </c:pt>
                <c:pt idx="5">
                  <c:v>28</c:v>
                </c:pt>
                <c:pt idx="6">
                  <c:v>26.7</c:v>
                </c:pt>
                <c:pt idx="7">
                  <c:v>24.7</c:v>
                </c:pt>
                <c:pt idx="8">
                  <c:v>17.899999999999999</c:v>
                </c:pt>
                <c:pt idx="9">
                  <c:v>23.6</c:v>
                </c:pt>
                <c:pt idx="10">
                  <c:v>23.3</c:v>
                </c:pt>
                <c:pt idx="11">
                  <c:v>17</c:v>
                </c:pt>
                <c:pt idx="12">
                  <c:v>16.600000000000001</c:v>
                </c:pt>
                <c:pt idx="13">
                  <c:v>15.7</c:v>
                </c:pt>
                <c:pt idx="14">
                  <c:v>15.7</c:v>
                </c:pt>
                <c:pt idx="15">
                  <c:v>15.4</c:v>
                </c:pt>
                <c:pt idx="16">
                  <c:v>13.6</c:v>
                </c:pt>
                <c:pt idx="17">
                  <c:v>12</c:v>
                </c:pt>
              </c:numCache>
            </c:numRef>
          </c:val>
          <c:smooth val="0"/>
          <c:extLst xmlns:c16r2="http://schemas.microsoft.com/office/drawing/2015/06/chart">
            <c:ext xmlns:c16="http://schemas.microsoft.com/office/drawing/2014/chart" uri="{C3380CC4-5D6E-409C-BE32-E72D297353CC}">
              <c16:uniqueId val="{00000008-FE5B-4195-95A9-048A07B1B27B}"/>
            </c:ext>
          </c:extLst>
        </c:ser>
        <c:ser>
          <c:idx val="1"/>
          <c:order val="1"/>
          <c:tx>
            <c:strRef>
              <c:f>Φύλλο1!$C$1</c:f>
              <c:strCache>
                <c:ptCount val="1"/>
                <c:pt idx="0">
                  <c:v>ΔΕΚΟ (ΔΕΗ, ΤΗΛ κλπ)</c:v>
                </c:pt>
              </c:strCache>
            </c:strRef>
          </c:tx>
          <c:marker>
            <c:symbol val="none"/>
          </c:marker>
          <c:dLbls>
            <c:spPr>
              <a:noFill/>
              <a:ln>
                <a:noFill/>
              </a:ln>
              <a:effectLst/>
            </c:spPr>
            <c:txPr>
              <a:bodyPr/>
              <a:lstStyle/>
              <a:p>
                <a:pPr>
                  <a:defRPr sz="800"/>
                </a:pPr>
                <a:endParaRPr lang="el-GR"/>
              </a:p>
            </c:txPr>
            <c:dLblPos val="b"/>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Φύλλο1!$A$2:$A$19</c:f>
              <c:strCache>
                <c:ptCount val="18"/>
                <c:pt idx="0">
                  <c:v>ΙΑΝ. 2011</c:v>
                </c:pt>
                <c:pt idx="1">
                  <c:v>ΙΟΥΛ. 2011</c:v>
                </c:pt>
                <c:pt idx="2">
                  <c:v>ΙΑΝ. 2012</c:v>
                </c:pt>
                <c:pt idx="3">
                  <c:v>ΙΟΥΛ. 2012</c:v>
                </c:pt>
                <c:pt idx="4">
                  <c:v>ΙΑΝ. 2013</c:v>
                </c:pt>
                <c:pt idx="5">
                  <c:v>ΙΟΥΛ. 2013</c:v>
                </c:pt>
                <c:pt idx="6">
                  <c:v>ΦΕΒΡ. 2014</c:v>
                </c:pt>
                <c:pt idx="7">
                  <c:v>ΙΟΥΛ. 2014</c:v>
                </c:pt>
                <c:pt idx="8">
                  <c:v>ΦΕΒΡ. 2015</c:v>
                </c:pt>
                <c:pt idx="9">
                  <c:v>ΙΟΥΛ. 2015</c:v>
                </c:pt>
                <c:pt idx="10">
                  <c:v>ΦΕΒΡ. 2016</c:v>
                </c:pt>
                <c:pt idx="11">
                  <c:v>ΙΟΥΛ. 2016</c:v>
                </c:pt>
                <c:pt idx="12">
                  <c:v>ΦΕΒΡ. 2017</c:v>
                </c:pt>
                <c:pt idx="13">
                  <c:v>ΙΟΥΛ. 2017</c:v>
                </c:pt>
                <c:pt idx="14">
                  <c:v>ΦΕΒΡ. 2018</c:v>
                </c:pt>
                <c:pt idx="15">
                  <c:v>ΙΟΥΛ. 2018</c:v>
                </c:pt>
                <c:pt idx="16">
                  <c:v>ΦΕΒΡ. 2019</c:v>
                </c:pt>
                <c:pt idx="17">
                  <c:v>ΙΟΥΛ. 2019</c:v>
                </c:pt>
              </c:strCache>
            </c:strRef>
          </c:cat>
          <c:val>
            <c:numRef>
              <c:f>Φύλλο1!$C$2:$C$19</c:f>
              <c:numCache>
                <c:formatCode>General</c:formatCode>
                <c:ptCount val="18"/>
                <c:pt idx="0">
                  <c:v>30.8</c:v>
                </c:pt>
                <c:pt idx="1">
                  <c:v>27</c:v>
                </c:pt>
                <c:pt idx="2">
                  <c:v>31.4</c:v>
                </c:pt>
                <c:pt idx="3">
                  <c:v>31.8</c:v>
                </c:pt>
                <c:pt idx="4">
                  <c:v>35.799999999999997</c:v>
                </c:pt>
                <c:pt idx="5">
                  <c:v>34.299999999999997</c:v>
                </c:pt>
                <c:pt idx="6">
                  <c:v>34.9</c:v>
                </c:pt>
                <c:pt idx="7">
                  <c:v>31.6</c:v>
                </c:pt>
                <c:pt idx="8">
                  <c:v>25.5</c:v>
                </c:pt>
                <c:pt idx="9">
                  <c:v>29.1</c:v>
                </c:pt>
                <c:pt idx="10">
                  <c:v>26.9</c:v>
                </c:pt>
                <c:pt idx="11">
                  <c:v>22</c:v>
                </c:pt>
                <c:pt idx="12">
                  <c:v>22.1</c:v>
                </c:pt>
                <c:pt idx="13">
                  <c:v>20</c:v>
                </c:pt>
                <c:pt idx="14">
                  <c:v>23.5</c:v>
                </c:pt>
                <c:pt idx="15">
                  <c:v>19.399999999999999</c:v>
                </c:pt>
                <c:pt idx="16">
                  <c:v>18.899999999999999</c:v>
                </c:pt>
                <c:pt idx="17">
                  <c:v>17</c:v>
                </c:pt>
              </c:numCache>
            </c:numRef>
          </c:val>
          <c:smooth val="0"/>
          <c:extLst xmlns:c16r2="http://schemas.microsoft.com/office/drawing/2015/06/chart">
            <c:ext xmlns:c16="http://schemas.microsoft.com/office/drawing/2014/chart" uri="{C3380CC4-5D6E-409C-BE32-E72D297353CC}">
              <c16:uniqueId val="{00000009-FE5B-4195-95A9-048A07B1B27B}"/>
            </c:ext>
          </c:extLst>
        </c:ser>
        <c:ser>
          <c:idx val="2"/>
          <c:order val="2"/>
          <c:tx>
            <c:strRef>
              <c:f>Φύλλο1!$D$1</c:f>
              <c:strCache>
                <c:ptCount val="1"/>
                <c:pt idx="0">
                  <c:v>Προμηθευτές</c:v>
                </c:pt>
              </c:strCache>
            </c:strRef>
          </c:tx>
          <c:marker>
            <c:symbol val="none"/>
          </c:marker>
          <c:dLbls>
            <c:spPr>
              <a:noFill/>
              <a:ln>
                <a:noFill/>
              </a:ln>
              <a:effectLst/>
            </c:spPr>
            <c:txPr>
              <a:bodyPr/>
              <a:lstStyle/>
              <a:p>
                <a:pPr>
                  <a:defRPr sz="800"/>
                </a:pPr>
                <a:endParaRPr lang="el-GR"/>
              </a:p>
            </c:txPr>
            <c:dLblPos val="b"/>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Φύλλο1!$A$2:$A$19</c:f>
              <c:strCache>
                <c:ptCount val="18"/>
                <c:pt idx="0">
                  <c:v>ΙΑΝ. 2011</c:v>
                </c:pt>
                <c:pt idx="1">
                  <c:v>ΙΟΥΛ. 2011</c:v>
                </c:pt>
                <c:pt idx="2">
                  <c:v>ΙΑΝ. 2012</c:v>
                </c:pt>
                <c:pt idx="3">
                  <c:v>ΙΟΥΛ. 2012</c:v>
                </c:pt>
                <c:pt idx="4">
                  <c:v>ΙΑΝ. 2013</c:v>
                </c:pt>
                <c:pt idx="5">
                  <c:v>ΙΟΥΛ. 2013</c:v>
                </c:pt>
                <c:pt idx="6">
                  <c:v>ΦΕΒΡ. 2014</c:v>
                </c:pt>
                <c:pt idx="7">
                  <c:v>ΙΟΥΛ. 2014</c:v>
                </c:pt>
                <c:pt idx="8">
                  <c:v>ΦΕΒΡ. 2015</c:v>
                </c:pt>
                <c:pt idx="9">
                  <c:v>ΙΟΥΛ. 2015</c:v>
                </c:pt>
                <c:pt idx="10">
                  <c:v>ΦΕΒΡ. 2016</c:v>
                </c:pt>
                <c:pt idx="11">
                  <c:v>ΙΟΥΛ. 2016</c:v>
                </c:pt>
                <c:pt idx="12">
                  <c:v>ΦΕΒΡ. 2017</c:v>
                </c:pt>
                <c:pt idx="13">
                  <c:v>ΙΟΥΛ. 2017</c:v>
                </c:pt>
                <c:pt idx="14">
                  <c:v>ΦΕΒΡ. 2018</c:v>
                </c:pt>
                <c:pt idx="15">
                  <c:v>ΙΟΥΛ. 2018</c:v>
                </c:pt>
                <c:pt idx="16">
                  <c:v>ΦΕΒΡ. 2019</c:v>
                </c:pt>
                <c:pt idx="17">
                  <c:v>ΙΟΥΛ. 2019</c:v>
                </c:pt>
              </c:strCache>
            </c:strRef>
          </c:cat>
          <c:val>
            <c:numRef>
              <c:f>Φύλλο1!$D$2:$D$19</c:f>
              <c:numCache>
                <c:formatCode>General</c:formatCode>
                <c:ptCount val="18"/>
                <c:pt idx="0">
                  <c:v>31.9</c:v>
                </c:pt>
                <c:pt idx="1">
                  <c:v>31.9</c:v>
                </c:pt>
                <c:pt idx="2">
                  <c:v>33.299999999999997</c:v>
                </c:pt>
                <c:pt idx="3">
                  <c:v>34.700000000000003</c:v>
                </c:pt>
                <c:pt idx="4">
                  <c:v>33</c:v>
                </c:pt>
                <c:pt idx="5">
                  <c:v>27.8</c:v>
                </c:pt>
                <c:pt idx="6">
                  <c:v>28.7</c:v>
                </c:pt>
                <c:pt idx="7">
                  <c:v>27.2</c:v>
                </c:pt>
                <c:pt idx="8">
                  <c:v>23.8</c:v>
                </c:pt>
                <c:pt idx="9">
                  <c:v>24.1</c:v>
                </c:pt>
                <c:pt idx="10">
                  <c:v>24.3</c:v>
                </c:pt>
                <c:pt idx="11">
                  <c:v>19</c:v>
                </c:pt>
                <c:pt idx="12">
                  <c:v>21.7</c:v>
                </c:pt>
                <c:pt idx="13">
                  <c:v>19.600000000000001</c:v>
                </c:pt>
                <c:pt idx="14">
                  <c:v>19.8</c:v>
                </c:pt>
                <c:pt idx="15">
                  <c:v>17.2</c:v>
                </c:pt>
                <c:pt idx="16">
                  <c:v>16.5</c:v>
                </c:pt>
                <c:pt idx="17">
                  <c:v>16.100000000000001</c:v>
                </c:pt>
              </c:numCache>
            </c:numRef>
          </c:val>
          <c:smooth val="0"/>
          <c:extLst xmlns:c16r2="http://schemas.microsoft.com/office/drawing/2015/06/chart">
            <c:ext xmlns:c16="http://schemas.microsoft.com/office/drawing/2014/chart" uri="{C3380CC4-5D6E-409C-BE32-E72D297353CC}">
              <c16:uniqueId val="{0000000A-FE5B-4195-95A9-048A07B1B27B}"/>
            </c:ext>
          </c:extLst>
        </c:ser>
        <c:dLbls>
          <c:showLegendKey val="0"/>
          <c:showVal val="0"/>
          <c:showCatName val="0"/>
          <c:showSerName val="0"/>
          <c:showPercent val="0"/>
          <c:showBubbleSize val="0"/>
        </c:dLbls>
        <c:marker val="1"/>
        <c:smooth val="0"/>
        <c:axId val="348874240"/>
        <c:axId val="348875776"/>
      </c:lineChart>
      <c:catAx>
        <c:axId val="348874240"/>
        <c:scaling>
          <c:orientation val="minMax"/>
        </c:scaling>
        <c:delete val="0"/>
        <c:axPos val="b"/>
        <c:numFmt formatCode="General" sourceLinked="0"/>
        <c:majorTickMark val="out"/>
        <c:minorTickMark val="none"/>
        <c:tickLblPos val="nextTo"/>
        <c:txPr>
          <a:bodyPr/>
          <a:lstStyle/>
          <a:p>
            <a:pPr>
              <a:defRPr sz="800">
                <a:latin typeface="Calibri" panose="020F0502020204030204" pitchFamily="34" charset="0"/>
              </a:defRPr>
            </a:pPr>
            <a:endParaRPr lang="el-GR"/>
          </a:p>
        </c:txPr>
        <c:crossAx val="348875776"/>
        <c:crossesAt val="1"/>
        <c:auto val="1"/>
        <c:lblAlgn val="ctr"/>
        <c:lblOffset val="100"/>
        <c:noMultiLvlLbl val="0"/>
      </c:catAx>
      <c:valAx>
        <c:axId val="348875776"/>
        <c:scaling>
          <c:orientation val="minMax"/>
        </c:scaling>
        <c:delete val="1"/>
        <c:axPos val="l"/>
        <c:majorGridlines/>
        <c:numFmt formatCode="General" sourceLinked="1"/>
        <c:majorTickMark val="out"/>
        <c:minorTickMark val="none"/>
        <c:tickLblPos val="nextTo"/>
        <c:crossAx val="348874240"/>
        <c:crosses val="autoZero"/>
        <c:crossBetween val="between"/>
      </c:valAx>
      <c:spPr>
        <a:ln>
          <a:solidFill>
            <a:schemeClr val="accent1"/>
          </a:solidFill>
        </a:ln>
      </c:spPr>
    </c:plotArea>
    <c:legend>
      <c:legendPos val="l"/>
      <c:layout>
        <c:manualLayout>
          <c:xMode val="edge"/>
          <c:yMode val="edge"/>
          <c:x val="1.1337868480725623E-2"/>
          <c:y val="0.13166246570453483"/>
          <c:w val="0.17683695788026496"/>
          <c:h val="0.7139333645617244"/>
        </c:manualLayout>
      </c:layout>
      <c:overlay val="0"/>
      <c:spPr>
        <a:ln>
          <a:solidFill>
            <a:sysClr val="windowText" lastClr="000000"/>
          </a:solidFill>
        </a:ln>
      </c:spPr>
      <c:txPr>
        <a:bodyPr/>
        <a:lstStyle/>
        <a:p>
          <a:pPr>
            <a:defRPr sz="1000"/>
          </a:pPr>
          <a:endParaRPr lang="el-GR"/>
        </a:p>
      </c:txPr>
    </c:legend>
    <c:plotVisOnly val="1"/>
    <c:dispBlanksAs val="gap"/>
    <c:showDLblsOverMax val="0"/>
  </c:chart>
  <c:txPr>
    <a:bodyPr/>
    <a:lstStyle/>
    <a:p>
      <a:pPr>
        <a:defRPr sz="1800"/>
      </a:pPr>
      <a:endParaRPr lang="el-GR"/>
    </a:p>
  </c:txPr>
  <c:externalData r:id="rId2">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Φύλλο1!$A$2</c:f>
              <c:strCache>
                <c:ptCount val="1"/>
                <c:pt idx="0">
                  <c:v>ΣΥΣΤΑΣΕΙΣ</c:v>
                </c:pt>
              </c:strCache>
            </c:strRef>
          </c:tx>
          <c:trendline>
            <c:name>Τάση (συστάσεις)</c:name>
            <c:spPr>
              <a:ln>
                <a:solidFill>
                  <a:schemeClr val="accent1"/>
                </a:solidFill>
              </a:ln>
            </c:spPr>
            <c:trendlineType val="linear"/>
            <c:dispRSqr val="0"/>
            <c:dispEq val="0"/>
          </c:trendline>
          <c:cat>
            <c:strRef>
              <c:f>Φύλλο1!$B$1:$I$1</c:f>
              <c:strCache>
                <c:ptCount val="8"/>
                <c:pt idx="0">
                  <c:v>2015Β</c:v>
                </c:pt>
                <c:pt idx="1">
                  <c:v>2016Α</c:v>
                </c:pt>
                <c:pt idx="2">
                  <c:v>2016Β</c:v>
                </c:pt>
                <c:pt idx="3">
                  <c:v>2017Α</c:v>
                </c:pt>
                <c:pt idx="4">
                  <c:v>2017Β</c:v>
                </c:pt>
                <c:pt idx="5">
                  <c:v>2018Α</c:v>
                </c:pt>
                <c:pt idx="6">
                  <c:v>2018Β</c:v>
                </c:pt>
                <c:pt idx="7">
                  <c:v>2019Α</c:v>
                </c:pt>
              </c:strCache>
            </c:strRef>
          </c:cat>
          <c:val>
            <c:numRef>
              <c:f>Φύλλο1!$B$2:$I$2</c:f>
              <c:numCache>
                <c:formatCode>General</c:formatCode>
                <c:ptCount val="8"/>
                <c:pt idx="0">
                  <c:v>12988</c:v>
                </c:pt>
                <c:pt idx="1">
                  <c:v>16667</c:v>
                </c:pt>
                <c:pt idx="2">
                  <c:v>14016</c:v>
                </c:pt>
                <c:pt idx="3">
                  <c:v>18389</c:v>
                </c:pt>
                <c:pt idx="4">
                  <c:v>14099</c:v>
                </c:pt>
                <c:pt idx="5">
                  <c:v>19950</c:v>
                </c:pt>
                <c:pt idx="6">
                  <c:v>14883</c:v>
                </c:pt>
                <c:pt idx="7">
                  <c:v>19135</c:v>
                </c:pt>
              </c:numCache>
            </c:numRef>
          </c:val>
          <c:smooth val="0"/>
        </c:ser>
        <c:ser>
          <c:idx val="1"/>
          <c:order val="1"/>
          <c:tx>
            <c:strRef>
              <c:f>Φύλλο1!$A$3</c:f>
              <c:strCache>
                <c:ptCount val="1"/>
                <c:pt idx="0">
                  <c:v>ΔΙΑΓΡΑΦΕΣ</c:v>
                </c:pt>
              </c:strCache>
            </c:strRef>
          </c:tx>
          <c:trendline>
            <c:name>Τάση (διαγραφές)</c:name>
            <c:spPr>
              <a:ln>
                <a:solidFill>
                  <a:schemeClr val="accent2"/>
                </a:solidFill>
              </a:ln>
            </c:spPr>
            <c:trendlineType val="linear"/>
            <c:dispRSqr val="0"/>
            <c:dispEq val="0"/>
          </c:trendline>
          <c:cat>
            <c:strRef>
              <c:f>Φύλλο1!$B$1:$I$1</c:f>
              <c:strCache>
                <c:ptCount val="8"/>
                <c:pt idx="0">
                  <c:v>2015Β</c:v>
                </c:pt>
                <c:pt idx="1">
                  <c:v>2016Α</c:v>
                </c:pt>
                <c:pt idx="2">
                  <c:v>2016Β</c:v>
                </c:pt>
                <c:pt idx="3">
                  <c:v>2017Α</c:v>
                </c:pt>
                <c:pt idx="4">
                  <c:v>2017Β</c:v>
                </c:pt>
                <c:pt idx="5">
                  <c:v>2018Α</c:v>
                </c:pt>
                <c:pt idx="6">
                  <c:v>2018Β</c:v>
                </c:pt>
                <c:pt idx="7">
                  <c:v>2019Α</c:v>
                </c:pt>
              </c:strCache>
            </c:strRef>
          </c:cat>
          <c:val>
            <c:numRef>
              <c:f>Φύλλο1!$B$3:$I$3</c:f>
              <c:numCache>
                <c:formatCode>General</c:formatCode>
                <c:ptCount val="8"/>
                <c:pt idx="0">
                  <c:v>16043</c:v>
                </c:pt>
                <c:pt idx="1">
                  <c:v>17718</c:v>
                </c:pt>
                <c:pt idx="2">
                  <c:v>18946</c:v>
                </c:pt>
                <c:pt idx="3">
                  <c:v>13872</c:v>
                </c:pt>
                <c:pt idx="4">
                  <c:v>12657</c:v>
                </c:pt>
                <c:pt idx="5">
                  <c:v>9778</c:v>
                </c:pt>
                <c:pt idx="6">
                  <c:v>11022</c:v>
                </c:pt>
                <c:pt idx="7">
                  <c:v>8009</c:v>
                </c:pt>
              </c:numCache>
            </c:numRef>
          </c:val>
          <c:smooth val="0"/>
        </c:ser>
        <c:dLbls>
          <c:showLegendKey val="0"/>
          <c:showVal val="0"/>
          <c:showCatName val="0"/>
          <c:showSerName val="0"/>
          <c:showPercent val="0"/>
          <c:showBubbleSize val="0"/>
        </c:dLbls>
        <c:marker val="1"/>
        <c:smooth val="0"/>
        <c:axId val="349410816"/>
        <c:axId val="349412352"/>
      </c:lineChart>
      <c:catAx>
        <c:axId val="349410816"/>
        <c:scaling>
          <c:orientation val="minMax"/>
        </c:scaling>
        <c:delete val="0"/>
        <c:axPos val="b"/>
        <c:majorTickMark val="out"/>
        <c:minorTickMark val="none"/>
        <c:tickLblPos val="nextTo"/>
        <c:crossAx val="349412352"/>
        <c:crosses val="autoZero"/>
        <c:auto val="1"/>
        <c:lblAlgn val="ctr"/>
        <c:lblOffset val="100"/>
        <c:noMultiLvlLbl val="0"/>
      </c:catAx>
      <c:valAx>
        <c:axId val="349412352"/>
        <c:scaling>
          <c:orientation val="minMax"/>
          <c:max val="25000"/>
        </c:scaling>
        <c:delete val="0"/>
        <c:axPos val="l"/>
        <c:majorGridlines/>
        <c:numFmt formatCode="General" sourceLinked="1"/>
        <c:majorTickMark val="out"/>
        <c:minorTickMark val="none"/>
        <c:tickLblPos val="nextTo"/>
        <c:crossAx val="349410816"/>
        <c:crosses val="autoZero"/>
        <c:crossBetween val="between"/>
        <c:majorUnit val="5000"/>
        <c:minorUnit val="400"/>
      </c:valAx>
    </c:plotArea>
    <c:legend>
      <c:legendPos val="t"/>
      <c:overlay val="0"/>
    </c:legend>
    <c:plotVisOnly val="1"/>
    <c:dispBlanksAs val="gap"/>
    <c:showDLblsOverMax val="0"/>
  </c:chart>
  <c:externalData r:id="rId2">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l-GR" sz="1400"/>
              <a:t>Γράφημα</a:t>
            </a:r>
            <a:r>
              <a:rPr lang="el-GR" sz="1400" baseline="0"/>
              <a:t> 29: </a:t>
            </a:r>
            <a:r>
              <a:rPr lang="el-GR" sz="1400"/>
              <a:t>ΔΕΙΚΤΗΣ ΒΙΩΣΙΜΟΤΗΤΑΣ ΜμΕ</a:t>
            </a:r>
          </a:p>
        </c:rich>
      </c:tx>
      <c:overlay val="0"/>
    </c:title>
    <c:autoTitleDeleted val="0"/>
    <c:plotArea>
      <c:layout/>
      <c:lineChart>
        <c:grouping val="standard"/>
        <c:varyColors val="0"/>
        <c:ser>
          <c:idx val="0"/>
          <c:order val="0"/>
          <c:tx>
            <c:strRef>
              <c:f>'ΚΙΝΔΥΝΟΣ ΔΙΑΚΟΠΗΣ ΛΕΙΤΟΥΡΓΙΑΣ'!$A$4</c:f>
              <c:strCache>
                <c:ptCount val="1"/>
                <c:pt idx="0">
                  <c:v>ΔΕΙΚΤΗΣ ΒΙΩΣΙΜΟΤΗΤΑΣ</c:v>
                </c:pt>
              </c:strCache>
            </c:strRef>
          </c:tx>
          <c:marker>
            <c:symbol val="none"/>
          </c:marker>
          <c:dLbls>
            <c:txPr>
              <a:bodyPr/>
              <a:lstStyle/>
              <a:p>
                <a:pPr>
                  <a:defRPr sz="800"/>
                </a:pPr>
                <a:endParaRPr lang="el-GR"/>
              </a:p>
            </c:txPr>
            <c:dLblPos val="b"/>
            <c:showLegendKey val="0"/>
            <c:showVal val="1"/>
            <c:showCatName val="0"/>
            <c:showSerName val="0"/>
            <c:showPercent val="0"/>
            <c:showBubbleSize val="0"/>
            <c:showLeaderLines val="0"/>
          </c:dLbls>
          <c:cat>
            <c:strRef>
              <c:f>'ΚΙΝΔΥΝΟΣ ΔΙΑΚΟΠΗΣ ΛΕΙΤΟΥΡΓΙΑΣ'!$B$3:$U$3</c:f>
              <c:strCache>
                <c:ptCount val="20"/>
                <c:pt idx="0">
                  <c:v>2009Β</c:v>
                </c:pt>
                <c:pt idx="1">
                  <c:v>2010Β</c:v>
                </c:pt>
                <c:pt idx="2">
                  <c:v>2011Α</c:v>
                </c:pt>
                <c:pt idx="3">
                  <c:v>2011Β</c:v>
                </c:pt>
                <c:pt idx="4">
                  <c:v>2012Α</c:v>
                </c:pt>
                <c:pt idx="5">
                  <c:v>2012Β</c:v>
                </c:pt>
                <c:pt idx="6">
                  <c:v>2013Α</c:v>
                </c:pt>
                <c:pt idx="7">
                  <c:v>2013Β</c:v>
                </c:pt>
                <c:pt idx="8">
                  <c:v>2014Α</c:v>
                </c:pt>
                <c:pt idx="9">
                  <c:v>2014Β</c:v>
                </c:pt>
                <c:pt idx="10">
                  <c:v>2015Α</c:v>
                </c:pt>
                <c:pt idx="11">
                  <c:v>2015Β</c:v>
                </c:pt>
                <c:pt idx="12">
                  <c:v>2016Α</c:v>
                </c:pt>
                <c:pt idx="13">
                  <c:v>2016Β</c:v>
                </c:pt>
                <c:pt idx="14">
                  <c:v>2017Α</c:v>
                </c:pt>
                <c:pt idx="15">
                  <c:v>2017Β</c:v>
                </c:pt>
                <c:pt idx="16">
                  <c:v>2018Α</c:v>
                </c:pt>
                <c:pt idx="17">
                  <c:v>2018Β</c:v>
                </c:pt>
                <c:pt idx="18">
                  <c:v>2019Α</c:v>
                </c:pt>
                <c:pt idx="19">
                  <c:v>2019Β</c:v>
                </c:pt>
              </c:strCache>
            </c:strRef>
          </c:cat>
          <c:val>
            <c:numRef>
              <c:f>'ΚΙΝΔΥΝΟΣ ΔΙΑΚΟΠΗΣ ΛΕΙΤΟΥΡΓΙΑΣ'!$B$4:$U$4</c:f>
              <c:numCache>
                <c:formatCode>0</c:formatCode>
                <c:ptCount val="20"/>
                <c:pt idx="0">
                  <c:v>88.3</c:v>
                </c:pt>
                <c:pt idx="1">
                  <c:v>81.191432000000006</c:v>
                </c:pt>
                <c:pt idx="2">
                  <c:v>77.234082000000001</c:v>
                </c:pt>
                <c:pt idx="3">
                  <c:v>80.960197999999991</c:v>
                </c:pt>
                <c:pt idx="4">
                  <c:v>78.266751999999997</c:v>
                </c:pt>
                <c:pt idx="5">
                  <c:v>66.384289999999993</c:v>
                </c:pt>
                <c:pt idx="6">
                  <c:v>76.780820000000006</c:v>
                </c:pt>
                <c:pt idx="7">
                  <c:v>75.411010000000005</c:v>
                </c:pt>
                <c:pt idx="8">
                  <c:v>81.175659999999993</c:v>
                </c:pt>
                <c:pt idx="9">
                  <c:v>78.5762</c:v>
                </c:pt>
                <c:pt idx="10">
                  <c:v>84.961410000000001</c:v>
                </c:pt>
                <c:pt idx="11">
                  <c:v>72.066569999999999</c:v>
                </c:pt>
                <c:pt idx="12">
                  <c:v>81.471249999999998</c:v>
                </c:pt>
                <c:pt idx="13">
                  <c:v>82.610640000000004</c:v>
                </c:pt>
                <c:pt idx="14">
                  <c:v>85.370959999999997</c:v>
                </c:pt>
                <c:pt idx="15">
                  <c:v>87.835120000000003</c:v>
                </c:pt>
                <c:pt idx="16">
                  <c:v>90.228989999999996</c:v>
                </c:pt>
                <c:pt idx="17">
                  <c:v>89.8249</c:v>
                </c:pt>
                <c:pt idx="18">
                  <c:v>92.163880000000006</c:v>
                </c:pt>
                <c:pt idx="19">
                  <c:v>91.054000000000002</c:v>
                </c:pt>
              </c:numCache>
            </c:numRef>
          </c:val>
          <c:smooth val="0"/>
        </c:ser>
        <c:dLbls>
          <c:showLegendKey val="0"/>
          <c:showVal val="0"/>
          <c:showCatName val="0"/>
          <c:showSerName val="0"/>
          <c:showPercent val="0"/>
          <c:showBubbleSize val="0"/>
        </c:dLbls>
        <c:marker val="1"/>
        <c:smooth val="0"/>
        <c:axId val="349432832"/>
        <c:axId val="349094656"/>
      </c:lineChart>
      <c:catAx>
        <c:axId val="349432832"/>
        <c:scaling>
          <c:orientation val="minMax"/>
        </c:scaling>
        <c:delete val="0"/>
        <c:axPos val="b"/>
        <c:majorTickMark val="out"/>
        <c:minorTickMark val="none"/>
        <c:tickLblPos val="nextTo"/>
        <c:crossAx val="349094656"/>
        <c:crosses val="autoZero"/>
        <c:auto val="1"/>
        <c:lblAlgn val="ctr"/>
        <c:lblOffset val="100"/>
        <c:noMultiLvlLbl val="0"/>
      </c:catAx>
      <c:valAx>
        <c:axId val="349094656"/>
        <c:scaling>
          <c:orientation val="minMax"/>
          <c:min val="40"/>
        </c:scaling>
        <c:delete val="0"/>
        <c:axPos val="l"/>
        <c:majorGridlines/>
        <c:numFmt formatCode="0" sourceLinked="1"/>
        <c:majorTickMark val="out"/>
        <c:minorTickMark val="none"/>
        <c:tickLblPos val="nextTo"/>
        <c:crossAx val="349432832"/>
        <c:crosses val="autoZero"/>
        <c:crossBetween val="between"/>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7884608733201718"/>
          <c:y val="0.10526040035955612"/>
          <c:w val="0.77812960509629525"/>
          <c:h val="0.83061961970555465"/>
        </c:manualLayout>
      </c:layout>
      <c:barChart>
        <c:barDir val="bar"/>
        <c:grouping val="percentStacked"/>
        <c:varyColors val="0"/>
        <c:ser>
          <c:idx val="0"/>
          <c:order val="0"/>
          <c:tx>
            <c:strRef>
              <c:f>Φύλλο1!$B$1</c:f>
              <c:strCache>
                <c:ptCount val="1"/>
                <c:pt idx="0">
                  <c:v>Αύξηση</c:v>
                </c:pt>
              </c:strCache>
            </c:strRef>
          </c:tx>
          <c:spPr>
            <a:solidFill>
              <a:schemeClr val="accent3">
                <a:lumMod val="75000"/>
              </a:schemeClr>
            </a:solidFill>
          </c:spPr>
          <c:invertIfNegative val="0"/>
          <c:dLbls>
            <c:spPr>
              <a:noFill/>
              <a:ln>
                <a:noFill/>
              </a:ln>
              <a:effectLst/>
            </c:spPr>
            <c:txPr>
              <a:bodyPr/>
              <a:lstStyle/>
              <a:p>
                <a:pPr>
                  <a:defRPr sz="1200">
                    <a:solidFill>
                      <a:schemeClr val="bg1"/>
                    </a:solidFill>
                    <a:latin typeface="Calibri" panose="020F0502020204030204" pitchFamily="34" charset="0"/>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Φύλλο1!$A$2:$A$5</c:f>
              <c:strCache>
                <c:ptCount val="4"/>
                <c:pt idx="0">
                  <c:v>ΤΙΜΕΣ</c:v>
                </c:pt>
                <c:pt idx="1">
                  <c:v>ΠΑΡΑΓΓΕΛΙΕΣ</c:v>
                </c:pt>
                <c:pt idx="2">
                  <c:v>ΚΥΚΛΟΣ ΕΡΓΑΣΙΩΝ</c:v>
                </c:pt>
                <c:pt idx="3">
                  <c:v>ΖΗΤΗΣΗ</c:v>
                </c:pt>
              </c:strCache>
            </c:strRef>
          </c:cat>
          <c:val>
            <c:numRef>
              <c:f>Φύλλο1!$B$2:$B$5</c:f>
              <c:numCache>
                <c:formatCode>0.0</c:formatCode>
                <c:ptCount val="4"/>
                <c:pt idx="0">
                  <c:v>7.6923076923076925</c:v>
                </c:pt>
                <c:pt idx="1">
                  <c:v>17.741935483870968</c:v>
                </c:pt>
                <c:pt idx="2">
                  <c:v>20.223325062034739</c:v>
                </c:pt>
                <c:pt idx="3">
                  <c:v>21.464019851116625</c:v>
                </c:pt>
              </c:numCache>
            </c:numRef>
          </c:val>
          <c:extLst xmlns:c16r2="http://schemas.microsoft.com/office/drawing/2015/06/chart">
            <c:ext xmlns:c16="http://schemas.microsoft.com/office/drawing/2014/chart" uri="{C3380CC4-5D6E-409C-BE32-E72D297353CC}">
              <c16:uniqueId val="{00000000-C8BB-49B6-BA78-B7C5E429B821}"/>
            </c:ext>
          </c:extLst>
        </c:ser>
        <c:ser>
          <c:idx val="1"/>
          <c:order val="1"/>
          <c:tx>
            <c:strRef>
              <c:f>Φύλλο1!$C$1</c:f>
              <c:strCache>
                <c:ptCount val="1"/>
                <c:pt idx="0">
                  <c:v>Μείωση</c:v>
                </c:pt>
              </c:strCache>
            </c:strRef>
          </c:tx>
          <c:invertIfNegative val="0"/>
          <c:dLbls>
            <c:spPr>
              <a:noFill/>
              <a:ln>
                <a:noFill/>
              </a:ln>
              <a:effectLst/>
            </c:spPr>
            <c:txPr>
              <a:bodyPr/>
              <a:lstStyle/>
              <a:p>
                <a:pPr algn="ctr">
                  <a:defRPr lang="el-GR" sz="1200" b="0" i="0" u="none" strike="noStrike" kern="1200" baseline="0">
                    <a:solidFill>
                      <a:prstClr val="white"/>
                    </a:solidFill>
                    <a:latin typeface="Calibri" panose="020F0502020204030204" pitchFamily="34" charset="0"/>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Φύλλο1!$A$2:$A$5</c:f>
              <c:strCache>
                <c:ptCount val="4"/>
                <c:pt idx="0">
                  <c:v>ΤΙΜΕΣ</c:v>
                </c:pt>
                <c:pt idx="1">
                  <c:v>ΠΑΡΑΓΓΕΛΙΕΣ</c:v>
                </c:pt>
                <c:pt idx="2">
                  <c:v>ΚΥΚΛΟΣ ΕΡΓΑΣΙΩΝ</c:v>
                </c:pt>
                <c:pt idx="3">
                  <c:v>ΖΗΤΗΣΗ</c:v>
                </c:pt>
              </c:strCache>
            </c:strRef>
          </c:cat>
          <c:val>
            <c:numRef>
              <c:f>Φύλλο1!$C$2:$C$5</c:f>
              <c:numCache>
                <c:formatCode>0.0</c:formatCode>
                <c:ptCount val="4"/>
                <c:pt idx="0">
                  <c:v>21.836228287841191</c:v>
                </c:pt>
                <c:pt idx="1">
                  <c:v>37.096774193548384</c:v>
                </c:pt>
                <c:pt idx="2">
                  <c:v>40.942928039702231</c:v>
                </c:pt>
                <c:pt idx="3">
                  <c:v>38.83374689826303</c:v>
                </c:pt>
              </c:numCache>
            </c:numRef>
          </c:val>
          <c:extLst xmlns:c16r2="http://schemas.microsoft.com/office/drawing/2015/06/chart">
            <c:ext xmlns:c16="http://schemas.microsoft.com/office/drawing/2014/chart" uri="{C3380CC4-5D6E-409C-BE32-E72D297353CC}">
              <c16:uniqueId val="{00000001-C8BB-49B6-BA78-B7C5E429B821}"/>
            </c:ext>
          </c:extLst>
        </c:ser>
        <c:ser>
          <c:idx val="2"/>
          <c:order val="2"/>
          <c:tx>
            <c:strRef>
              <c:f>Φύλλο1!$D$1</c:f>
              <c:strCache>
                <c:ptCount val="1"/>
                <c:pt idx="0">
                  <c:v>Χωρίς μεταβολή</c:v>
                </c:pt>
              </c:strCache>
            </c:strRef>
          </c:tx>
          <c:spPr>
            <a:solidFill>
              <a:schemeClr val="accent1">
                <a:lumMod val="75000"/>
              </a:schemeClr>
            </a:solidFill>
          </c:spPr>
          <c:invertIfNegative val="0"/>
          <c:dLbls>
            <c:spPr>
              <a:noFill/>
              <a:ln>
                <a:noFill/>
              </a:ln>
              <a:effectLst/>
            </c:spPr>
            <c:txPr>
              <a:bodyPr/>
              <a:lstStyle/>
              <a:p>
                <a:pPr algn="ctr">
                  <a:defRPr lang="el-GR" sz="1200" b="0" i="0" u="none" strike="noStrike" kern="1200" baseline="0">
                    <a:solidFill>
                      <a:prstClr val="white"/>
                    </a:solidFill>
                    <a:latin typeface="Calibri" panose="020F0502020204030204" pitchFamily="34" charset="0"/>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Φύλλο1!$A$2:$A$5</c:f>
              <c:strCache>
                <c:ptCount val="4"/>
                <c:pt idx="0">
                  <c:v>ΤΙΜΕΣ</c:v>
                </c:pt>
                <c:pt idx="1">
                  <c:v>ΠΑΡΑΓΓΕΛΙΕΣ</c:v>
                </c:pt>
                <c:pt idx="2">
                  <c:v>ΚΥΚΛΟΣ ΕΡΓΑΣΙΩΝ</c:v>
                </c:pt>
                <c:pt idx="3">
                  <c:v>ΖΗΤΗΣΗ</c:v>
                </c:pt>
              </c:strCache>
            </c:strRef>
          </c:cat>
          <c:val>
            <c:numRef>
              <c:f>Φύλλο1!$D$2:$D$5</c:f>
              <c:numCache>
                <c:formatCode>0.0</c:formatCode>
                <c:ptCount val="4"/>
                <c:pt idx="0">
                  <c:v>69.478908188585606</c:v>
                </c:pt>
                <c:pt idx="1">
                  <c:v>41.935483870967744</c:v>
                </c:pt>
                <c:pt idx="2">
                  <c:v>37.344913151364764</c:v>
                </c:pt>
                <c:pt idx="3">
                  <c:v>39.081885856079403</c:v>
                </c:pt>
              </c:numCache>
            </c:numRef>
          </c:val>
          <c:extLst xmlns:c16r2="http://schemas.microsoft.com/office/drawing/2015/06/chart">
            <c:ext xmlns:c16="http://schemas.microsoft.com/office/drawing/2014/chart" uri="{C3380CC4-5D6E-409C-BE32-E72D297353CC}">
              <c16:uniqueId val="{00000002-C8BB-49B6-BA78-B7C5E429B821}"/>
            </c:ext>
          </c:extLst>
        </c:ser>
        <c:ser>
          <c:idx val="3"/>
          <c:order val="3"/>
          <c:tx>
            <c:strRef>
              <c:f>Φύλλο1!$E$1</c:f>
              <c:strCache>
                <c:ptCount val="1"/>
                <c:pt idx="0">
                  <c:v>ΔΑ</c:v>
                </c:pt>
              </c:strCache>
            </c:strRef>
          </c:tx>
          <c:spPr>
            <a:solidFill>
              <a:schemeClr val="tx1">
                <a:lumMod val="50000"/>
                <a:lumOff val="50000"/>
              </a:schemeClr>
            </a:solidFill>
          </c:spPr>
          <c:invertIfNegative val="0"/>
          <c:dLbls>
            <c:dLbl>
              <c:idx val="0"/>
              <c:layout>
                <c:manualLayout>
                  <c:x val="1.8302473729334315E-2"/>
                  <c:y val="9.7981808272934739E-17"/>
                </c:manualLayout>
              </c:layout>
              <c:spPr/>
              <c:txPr>
                <a:bodyPr/>
                <a:lstStyle/>
                <a:p>
                  <a:pPr algn="ctr">
                    <a:defRPr lang="el-GR" sz="1200" b="0" i="0" u="none" strike="noStrike" kern="1200" baseline="0">
                      <a:solidFill>
                        <a:schemeClr val="tx1"/>
                      </a:solidFill>
                      <a:latin typeface="Calibri" panose="020F0502020204030204" pitchFamily="34" charset="0"/>
                      <a:ea typeface="+mn-ea"/>
                      <a:cs typeface="+mn-cs"/>
                    </a:defRPr>
                  </a:pPr>
                  <a:endParaRPr lang="el-GR"/>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C8BB-49B6-BA78-B7C5E429B821}"/>
                </c:ext>
              </c:extLst>
            </c:dLbl>
            <c:dLbl>
              <c:idx val="1"/>
              <c:layout>
                <c:manualLayout>
                  <c:x val="1.9966334977455341E-2"/>
                  <c:y val="-2.6722620045585141E-3"/>
                </c:manualLayout>
              </c:layout>
              <c:spPr/>
              <c:txPr>
                <a:bodyPr/>
                <a:lstStyle/>
                <a:p>
                  <a:pPr algn="ctr">
                    <a:defRPr lang="el-GR" sz="1200" b="0" i="0" u="none" strike="noStrike" kern="1200" baseline="0">
                      <a:solidFill>
                        <a:schemeClr val="tx1"/>
                      </a:solidFill>
                      <a:latin typeface="Calibri" panose="020F0502020204030204" pitchFamily="34" charset="0"/>
                      <a:ea typeface="+mn-ea"/>
                      <a:cs typeface="+mn-cs"/>
                    </a:defRPr>
                  </a:pPr>
                  <a:endParaRPr lang="el-GR"/>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C8BB-49B6-BA78-B7C5E429B821}"/>
                </c:ext>
              </c:extLst>
            </c:dLbl>
            <c:dLbl>
              <c:idx val="2"/>
              <c:layout>
                <c:manualLayout>
                  <c:x val="2.6621779969940456E-2"/>
                  <c:y val="-2.672262004558416E-3"/>
                </c:manualLayout>
              </c:layout>
              <c:spPr/>
              <c:txPr>
                <a:bodyPr/>
                <a:lstStyle/>
                <a:p>
                  <a:pPr algn="ctr">
                    <a:defRPr lang="el-GR" sz="1200" b="0" i="0" u="none" strike="noStrike" kern="1200" baseline="0">
                      <a:solidFill>
                        <a:schemeClr val="tx1"/>
                      </a:solidFill>
                      <a:latin typeface="Calibri" panose="020F0502020204030204" pitchFamily="34" charset="0"/>
                      <a:ea typeface="+mn-ea"/>
                      <a:cs typeface="+mn-cs"/>
                    </a:defRPr>
                  </a:pPr>
                  <a:endParaRPr lang="el-GR"/>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C8BB-49B6-BA78-B7C5E429B821}"/>
                </c:ext>
              </c:extLst>
            </c:dLbl>
            <c:dLbl>
              <c:idx val="3"/>
              <c:layout>
                <c:manualLayout>
                  <c:x val="2.8285641218061611E-2"/>
                  <c:y val="8.0167860136753921E-3"/>
                </c:manualLayout>
              </c:layout>
              <c:spPr/>
              <c:txPr>
                <a:bodyPr/>
                <a:lstStyle/>
                <a:p>
                  <a:pPr algn="ctr">
                    <a:defRPr lang="el-GR" sz="1200" b="0" i="0" u="none" strike="noStrike" kern="1200" baseline="0">
                      <a:solidFill>
                        <a:schemeClr val="tx1"/>
                      </a:solidFill>
                      <a:latin typeface="Calibri" panose="020F0502020204030204" pitchFamily="34" charset="0"/>
                      <a:ea typeface="+mn-ea"/>
                      <a:cs typeface="+mn-cs"/>
                    </a:defRPr>
                  </a:pPr>
                  <a:endParaRPr lang="el-GR"/>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C8BB-49B6-BA78-B7C5E429B821}"/>
                </c:ext>
              </c:extLst>
            </c:dLbl>
            <c:dLbl>
              <c:idx val="4"/>
              <c:layout>
                <c:manualLayout>
                  <c:x val="2.1630196225576867E-2"/>
                  <c:y val="-8.0167860136753921E-3"/>
                </c:manualLayout>
              </c:layout>
              <c:spPr/>
              <c:txPr>
                <a:bodyPr/>
                <a:lstStyle/>
                <a:p>
                  <a:pPr algn="ctr">
                    <a:defRPr lang="el-GR" sz="1200" b="0" i="0" u="none" strike="noStrike" kern="1200" baseline="0">
                      <a:solidFill>
                        <a:schemeClr val="tx1"/>
                      </a:solidFill>
                      <a:latin typeface="Calibri" panose="020F0502020204030204" pitchFamily="34" charset="0"/>
                      <a:ea typeface="+mn-ea"/>
                      <a:cs typeface="+mn-cs"/>
                    </a:defRPr>
                  </a:pPr>
                  <a:endParaRPr lang="el-GR"/>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C8BB-49B6-BA78-B7C5E429B821}"/>
                </c:ext>
              </c:extLst>
            </c:dLbl>
            <c:dLbl>
              <c:idx val="5"/>
              <c:layout>
                <c:manualLayout>
                  <c:x val="1.9966334977455341E-2"/>
                  <c:y val="2.672262004558416E-3"/>
                </c:manualLayout>
              </c:layout>
              <c:spPr/>
              <c:txPr>
                <a:bodyPr/>
                <a:lstStyle/>
                <a:p>
                  <a:pPr algn="ctr">
                    <a:defRPr lang="el-GR" sz="1200" b="0" i="0" u="none" strike="noStrike" kern="1200" baseline="0">
                      <a:solidFill>
                        <a:schemeClr val="tx1"/>
                      </a:solidFill>
                      <a:latin typeface="Calibri" panose="020F0502020204030204" pitchFamily="34" charset="0"/>
                      <a:ea typeface="+mn-ea"/>
                      <a:cs typeface="+mn-cs"/>
                    </a:defRPr>
                  </a:pPr>
                  <a:endParaRPr lang="el-GR"/>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C8BB-49B6-BA78-B7C5E429B821}"/>
                </c:ext>
              </c:extLst>
            </c:dLbl>
            <c:dLbl>
              <c:idx val="6"/>
              <c:layout>
                <c:manualLayout>
                  <c:x val="1.9966334977455341E-2"/>
                  <c:y val="2.672262004558416E-3"/>
                </c:manualLayout>
              </c:layout>
              <c:spPr/>
              <c:txPr>
                <a:bodyPr/>
                <a:lstStyle/>
                <a:p>
                  <a:pPr algn="ctr">
                    <a:defRPr lang="el-GR" sz="1200" b="0" i="0" u="none" strike="noStrike" kern="1200" baseline="0">
                      <a:solidFill>
                        <a:schemeClr val="tx1"/>
                      </a:solidFill>
                      <a:latin typeface="Calibri" panose="020F0502020204030204" pitchFamily="34" charset="0"/>
                      <a:ea typeface="+mn-ea"/>
                      <a:cs typeface="+mn-cs"/>
                    </a:defRPr>
                  </a:pPr>
                  <a:endParaRPr lang="el-GR"/>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C8BB-49B6-BA78-B7C5E429B821}"/>
                </c:ext>
              </c:extLst>
            </c:dLbl>
            <c:spPr>
              <a:noFill/>
              <a:ln>
                <a:noFill/>
              </a:ln>
              <a:effectLst/>
            </c:spPr>
            <c:txPr>
              <a:bodyPr/>
              <a:lstStyle/>
              <a:p>
                <a:pPr algn="ctr">
                  <a:defRPr lang="el-GR" sz="1200" b="0" i="0" u="none" strike="noStrike" kern="1200" baseline="0">
                    <a:solidFill>
                      <a:prstClr val="white"/>
                    </a:solidFill>
                    <a:latin typeface="Calibri" panose="020F0502020204030204" pitchFamily="34" charset="0"/>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Φύλλο1!$A$2:$A$5</c:f>
              <c:strCache>
                <c:ptCount val="4"/>
                <c:pt idx="0">
                  <c:v>ΤΙΜΕΣ</c:v>
                </c:pt>
                <c:pt idx="1">
                  <c:v>ΠΑΡΑΓΓΕΛΙΕΣ</c:v>
                </c:pt>
                <c:pt idx="2">
                  <c:v>ΚΥΚΛΟΣ ΕΡΓΑΣΙΩΝ</c:v>
                </c:pt>
                <c:pt idx="3">
                  <c:v>ΖΗΤΗΣΗ</c:v>
                </c:pt>
              </c:strCache>
            </c:strRef>
          </c:cat>
          <c:val>
            <c:numRef>
              <c:f>Φύλλο1!$E$2:$E$5</c:f>
              <c:numCache>
                <c:formatCode>0.0</c:formatCode>
                <c:ptCount val="4"/>
                <c:pt idx="0">
                  <c:v>0.99255583126550873</c:v>
                </c:pt>
                <c:pt idx="1">
                  <c:v>3.3</c:v>
                </c:pt>
                <c:pt idx="2">
                  <c:v>1.6</c:v>
                </c:pt>
                <c:pt idx="3">
                  <c:v>0.6203473945409429</c:v>
                </c:pt>
              </c:numCache>
            </c:numRef>
          </c:val>
          <c:extLst xmlns:c16r2="http://schemas.microsoft.com/office/drawing/2015/06/chart">
            <c:ext xmlns:c16="http://schemas.microsoft.com/office/drawing/2014/chart" uri="{C3380CC4-5D6E-409C-BE32-E72D297353CC}">
              <c16:uniqueId val="{0000000A-C8BB-49B6-BA78-B7C5E429B821}"/>
            </c:ext>
          </c:extLst>
        </c:ser>
        <c:dLbls>
          <c:showLegendKey val="0"/>
          <c:showVal val="0"/>
          <c:showCatName val="0"/>
          <c:showSerName val="0"/>
          <c:showPercent val="0"/>
          <c:showBubbleSize val="0"/>
        </c:dLbls>
        <c:gapWidth val="50"/>
        <c:overlap val="100"/>
        <c:axId val="346627072"/>
        <c:axId val="346649344"/>
      </c:barChart>
      <c:catAx>
        <c:axId val="346627072"/>
        <c:scaling>
          <c:orientation val="minMax"/>
        </c:scaling>
        <c:delete val="0"/>
        <c:axPos val="l"/>
        <c:numFmt formatCode="General" sourceLinked="0"/>
        <c:majorTickMark val="out"/>
        <c:minorTickMark val="none"/>
        <c:tickLblPos val="nextTo"/>
        <c:txPr>
          <a:bodyPr/>
          <a:lstStyle/>
          <a:p>
            <a:pPr>
              <a:defRPr sz="1200">
                <a:latin typeface="Calibri" panose="020F0502020204030204" pitchFamily="34" charset="0"/>
              </a:defRPr>
            </a:pPr>
            <a:endParaRPr lang="el-GR"/>
          </a:p>
        </c:txPr>
        <c:crossAx val="346649344"/>
        <c:crosses val="autoZero"/>
        <c:auto val="1"/>
        <c:lblAlgn val="ctr"/>
        <c:lblOffset val="100"/>
        <c:noMultiLvlLbl val="0"/>
      </c:catAx>
      <c:valAx>
        <c:axId val="346649344"/>
        <c:scaling>
          <c:orientation val="minMax"/>
        </c:scaling>
        <c:delete val="0"/>
        <c:axPos val="b"/>
        <c:majorGridlines/>
        <c:numFmt formatCode="0%" sourceLinked="1"/>
        <c:majorTickMark val="out"/>
        <c:minorTickMark val="none"/>
        <c:tickLblPos val="nextTo"/>
        <c:txPr>
          <a:bodyPr/>
          <a:lstStyle/>
          <a:p>
            <a:pPr>
              <a:defRPr sz="1200">
                <a:latin typeface="Calibri" panose="020F0502020204030204" pitchFamily="34" charset="0"/>
              </a:defRPr>
            </a:pPr>
            <a:endParaRPr lang="el-GR"/>
          </a:p>
        </c:txPr>
        <c:crossAx val="346627072"/>
        <c:crosses val="autoZero"/>
        <c:crossBetween val="between"/>
      </c:valAx>
    </c:plotArea>
    <c:legend>
      <c:legendPos val="r"/>
      <c:layout>
        <c:manualLayout>
          <c:xMode val="edge"/>
          <c:yMode val="edge"/>
          <c:x val="0.21509569116360455"/>
          <c:y val="2.1386229160379341E-2"/>
          <c:w val="0.66327029276441285"/>
          <c:h val="4.2934418698222704E-2"/>
        </c:manualLayout>
      </c:layout>
      <c:overlay val="0"/>
      <c:txPr>
        <a:bodyPr/>
        <a:lstStyle/>
        <a:p>
          <a:pPr>
            <a:defRPr sz="1200">
              <a:latin typeface="Calibri" panose="020F0502020204030204" pitchFamily="34" charset="0"/>
            </a:defRPr>
          </a:pPr>
          <a:endParaRPr lang="el-GR"/>
        </a:p>
      </c:txPr>
    </c:legend>
    <c:plotVisOnly val="1"/>
    <c:dispBlanksAs val="gap"/>
    <c:showDLblsOverMax val="0"/>
  </c:chart>
  <c:txPr>
    <a:bodyPr/>
    <a:lstStyle/>
    <a:p>
      <a:pPr>
        <a:defRPr sz="1800"/>
      </a:pPr>
      <a:endParaRPr lang="el-GR"/>
    </a:p>
  </c:txPr>
  <c:externalData r:id="rId2">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3125000000000001"/>
          <c:y val="0.14687500000000001"/>
          <c:w val="0.47534490826548548"/>
          <c:h val="0.64401547225940814"/>
        </c:manualLayout>
      </c:layout>
      <c:doughnutChart>
        <c:varyColors val="1"/>
        <c:ser>
          <c:idx val="0"/>
          <c:order val="0"/>
          <c:tx>
            <c:strRef>
              <c:f>Φύλλο1!$B$1</c:f>
              <c:strCache>
                <c:ptCount val="1"/>
                <c:pt idx="0">
                  <c:v>Πωλήσεις</c:v>
                </c:pt>
              </c:strCache>
            </c:strRef>
          </c:tx>
          <c:spPr>
            <a:ln>
              <a:solidFill>
                <a:schemeClr val="bg1"/>
              </a:solidFill>
            </a:ln>
          </c:spPr>
          <c:dPt>
            <c:idx val="0"/>
            <c:bubble3D val="0"/>
            <c:spPr>
              <a:solidFill>
                <a:schemeClr val="accent2">
                  <a:lumMod val="75000"/>
                </a:schemeClr>
              </a:solidFill>
              <a:ln>
                <a:solidFill>
                  <a:schemeClr val="bg1"/>
                </a:solidFill>
              </a:ln>
            </c:spPr>
            <c:extLst xmlns:c16r2="http://schemas.microsoft.com/office/drawing/2015/06/chart">
              <c:ext xmlns:c16="http://schemas.microsoft.com/office/drawing/2014/chart" uri="{C3380CC4-5D6E-409C-BE32-E72D297353CC}">
                <c16:uniqueId val="{00000001-6A4F-4179-8CC4-9642BECF5556}"/>
              </c:ext>
            </c:extLst>
          </c:dPt>
          <c:dPt>
            <c:idx val="1"/>
            <c:bubble3D val="0"/>
            <c:spPr>
              <a:solidFill>
                <a:schemeClr val="accent2">
                  <a:lumMod val="60000"/>
                  <a:lumOff val="40000"/>
                </a:schemeClr>
              </a:solidFill>
              <a:ln>
                <a:solidFill>
                  <a:schemeClr val="bg1"/>
                </a:solidFill>
              </a:ln>
            </c:spPr>
            <c:extLst xmlns:c16r2="http://schemas.microsoft.com/office/drawing/2015/06/chart">
              <c:ext xmlns:c16="http://schemas.microsoft.com/office/drawing/2014/chart" uri="{C3380CC4-5D6E-409C-BE32-E72D297353CC}">
                <c16:uniqueId val="{00000003-6A4F-4179-8CC4-9642BECF5556}"/>
              </c:ext>
            </c:extLst>
          </c:dPt>
          <c:dPt>
            <c:idx val="2"/>
            <c:bubble3D val="0"/>
            <c:spPr>
              <a:solidFill>
                <a:schemeClr val="accent3">
                  <a:lumMod val="75000"/>
                </a:schemeClr>
              </a:solidFill>
              <a:ln>
                <a:solidFill>
                  <a:schemeClr val="bg1"/>
                </a:solidFill>
              </a:ln>
            </c:spPr>
            <c:extLst xmlns:c16r2="http://schemas.microsoft.com/office/drawing/2015/06/chart">
              <c:ext xmlns:c16="http://schemas.microsoft.com/office/drawing/2014/chart" uri="{C3380CC4-5D6E-409C-BE32-E72D297353CC}">
                <c16:uniqueId val="{00000005-6A4F-4179-8CC4-9642BECF5556}"/>
              </c:ext>
            </c:extLst>
          </c:dPt>
          <c:dPt>
            <c:idx val="3"/>
            <c:bubble3D val="0"/>
            <c:spPr>
              <a:solidFill>
                <a:schemeClr val="accent3">
                  <a:lumMod val="50000"/>
                </a:schemeClr>
              </a:solidFill>
              <a:ln>
                <a:solidFill>
                  <a:schemeClr val="bg1"/>
                </a:solidFill>
              </a:ln>
            </c:spPr>
            <c:extLst xmlns:c16r2="http://schemas.microsoft.com/office/drawing/2015/06/chart">
              <c:ext xmlns:c16="http://schemas.microsoft.com/office/drawing/2014/chart" uri="{C3380CC4-5D6E-409C-BE32-E72D297353CC}">
                <c16:uniqueId val="{00000007-6A4F-4179-8CC4-9642BECF5556}"/>
              </c:ext>
            </c:extLst>
          </c:dPt>
          <c:dPt>
            <c:idx val="4"/>
            <c:bubble3D val="0"/>
            <c:spPr>
              <a:solidFill>
                <a:schemeClr val="tx1">
                  <a:lumMod val="50000"/>
                  <a:lumOff val="50000"/>
                </a:schemeClr>
              </a:solidFill>
              <a:ln>
                <a:solidFill>
                  <a:schemeClr val="bg1"/>
                </a:solidFill>
              </a:ln>
            </c:spPr>
            <c:extLst xmlns:c16r2="http://schemas.microsoft.com/office/drawing/2015/06/chart">
              <c:ext xmlns:c16="http://schemas.microsoft.com/office/drawing/2014/chart" uri="{C3380CC4-5D6E-409C-BE32-E72D297353CC}">
                <c16:uniqueId val="{00000009-6A4F-4179-8CC4-9642BECF5556}"/>
              </c:ext>
            </c:extLst>
          </c:dPt>
          <c:dLbls>
            <c:dLbl>
              <c:idx val="0"/>
              <c:layout>
                <c:manualLayout>
                  <c:x val="7.2008105904693101E-2"/>
                  <c:y val="-0.13790857557934355"/>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6A4F-4179-8CC4-9642BECF5556}"/>
                </c:ext>
              </c:extLst>
            </c:dLbl>
            <c:dLbl>
              <c:idx val="1"/>
              <c:layout>
                <c:manualLayout>
                  <c:x val="0.16666666666666666"/>
                  <c:y val="3.7500000000000006E-2"/>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6A4F-4179-8CC4-9642BECF5556}"/>
                </c:ext>
              </c:extLst>
            </c:dLbl>
            <c:dLbl>
              <c:idx val="2"/>
              <c:layout>
                <c:manualLayout>
                  <c:x val="-4.384457072995436E-2"/>
                  <c:y val="0.17918033986096096"/>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6A4F-4179-8CC4-9642BECF5556}"/>
                </c:ext>
              </c:extLst>
            </c:dLbl>
            <c:dLbl>
              <c:idx val="3"/>
              <c:layout>
                <c:manualLayout>
                  <c:x val="-0.14375000000000004"/>
                  <c:y val="-9.6875000000000044E-2"/>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6A4F-4179-8CC4-9642BECF5556}"/>
                </c:ext>
              </c:extLst>
            </c:dLbl>
            <c:dLbl>
              <c:idx val="4"/>
              <c:layout>
                <c:manualLayout>
                  <c:x val="-1.2500023681164386E-2"/>
                  <c:y val="-0.14117688076204565"/>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9-6A4F-4179-8CC4-9642BECF5556}"/>
                </c:ext>
              </c:extLst>
            </c:dLbl>
            <c:spPr>
              <a:noFill/>
              <a:ln>
                <a:noFill/>
              </a:ln>
              <a:effectLst/>
            </c:spPr>
            <c:txPr>
              <a:bodyPr/>
              <a:lstStyle/>
              <a:p>
                <a:pPr>
                  <a:defRPr sz="800">
                    <a:latin typeface="Calibri" panose="020F0502020204030204" pitchFamily="34" charset="0"/>
                  </a:defRPr>
                </a:pPr>
                <a:endParaRPr lang="el-GR"/>
              </a:p>
            </c:txPr>
            <c:showLegendKey val="0"/>
            <c:showVal val="1"/>
            <c:showCatName val="1"/>
            <c:showSerName val="0"/>
            <c:showPercent val="0"/>
            <c:showBubbleSize val="0"/>
            <c:separator>
</c:separator>
            <c:showLeaderLines val="1"/>
            <c:extLst xmlns:c16r2="http://schemas.microsoft.com/office/drawing/2015/06/chart">
              <c:ext xmlns:c15="http://schemas.microsoft.com/office/drawing/2012/chart" uri="{CE6537A1-D6FC-4f65-9D91-7224C49458BB}"/>
            </c:extLst>
          </c:dLbls>
          <c:cat>
            <c:strRef>
              <c:f>Φύλλο1!$A$2:$A$6</c:f>
              <c:strCache>
                <c:ptCount val="5"/>
                <c:pt idx="0">
                  <c:v>Πολύ πιθανό</c:v>
                </c:pt>
                <c:pt idx="1">
                  <c:v>Αρκετά πιθανό</c:v>
                </c:pt>
                <c:pt idx="2">
                  <c:v>Ελάχιστα πιθανό</c:v>
                </c:pt>
                <c:pt idx="3">
                  <c:v>Καθόλου πιθανό</c:v>
                </c:pt>
                <c:pt idx="4">
                  <c:v>ΔΑ</c:v>
                </c:pt>
              </c:strCache>
            </c:strRef>
          </c:cat>
          <c:val>
            <c:numRef>
              <c:f>Φύλλο1!$B$2:$B$6</c:f>
              <c:numCache>
                <c:formatCode>0.0</c:formatCode>
                <c:ptCount val="5"/>
                <c:pt idx="0">
                  <c:v>9.6999999999999993</c:v>
                </c:pt>
                <c:pt idx="1">
                  <c:v>14.4</c:v>
                </c:pt>
                <c:pt idx="2">
                  <c:v>23</c:v>
                </c:pt>
                <c:pt idx="3">
                  <c:v>51.6</c:v>
                </c:pt>
                <c:pt idx="4">
                  <c:v>1.4</c:v>
                </c:pt>
              </c:numCache>
            </c:numRef>
          </c:val>
          <c:extLst xmlns:c16r2="http://schemas.microsoft.com/office/drawing/2015/06/chart">
            <c:ext xmlns:c16="http://schemas.microsoft.com/office/drawing/2014/chart" uri="{C3380CC4-5D6E-409C-BE32-E72D297353CC}">
              <c16:uniqueId val="{0000000A-6A4F-4179-8CC4-9642BECF5556}"/>
            </c:ext>
          </c:extLst>
        </c:ser>
        <c:dLbls>
          <c:showLegendKey val="0"/>
          <c:showVal val="0"/>
          <c:showCatName val="0"/>
          <c:showSerName val="0"/>
          <c:showPercent val="0"/>
          <c:showBubbleSize val="0"/>
          <c:showLeaderLines val="1"/>
        </c:dLbls>
        <c:firstSliceAng val="0"/>
        <c:holeSize val="50"/>
      </c:doughnutChart>
    </c:plotArea>
    <c:plotVisOnly val="1"/>
    <c:dispBlanksAs val="zero"/>
    <c:showDLblsOverMax val="0"/>
  </c:chart>
  <c:txPr>
    <a:bodyPr/>
    <a:lstStyle/>
    <a:p>
      <a:pPr>
        <a:defRPr sz="1800"/>
      </a:pPr>
      <a:endParaRPr lang="el-GR"/>
    </a:p>
  </c:txPr>
  <c:externalData r:id="rId2">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Φύλλο1!$B$1</c:f>
              <c:strCache>
                <c:ptCount val="1"/>
                <c:pt idx="0">
                  <c:v>Σειρά 1</c:v>
                </c:pt>
              </c:strCache>
            </c:strRef>
          </c:tx>
          <c:spPr>
            <a:solidFill>
              <a:schemeClr val="accent3">
                <a:lumMod val="60000"/>
                <a:lumOff val="40000"/>
              </a:schemeClr>
            </a:solidFill>
          </c:spPr>
          <c:invertIfNegative val="0"/>
          <c:dPt>
            <c:idx val="1"/>
            <c:invertIfNegative val="0"/>
            <c:bubble3D val="0"/>
            <c:spPr>
              <a:solidFill>
                <a:schemeClr val="accent4">
                  <a:lumMod val="40000"/>
                  <a:lumOff val="60000"/>
                </a:schemeClr>
              </a:solidFill>
            </c:spPr>
            <c:extLst xmlns:c16r2="http://schemas.microsoft.com/office/drawing/2015/06/chart">
              <c:ext xmlns:c16="http://schemas.microsoft.com/office/drawing/2014/chart" uri="{C3380CC4-5D6E-409C-BE32-E72D297353CC}">
                <c16:uniqueId val="{00000001-FC1E-428D-9FF9-43B640C5AA45}"/>
              </c:ext>
            </c:extLst>
          </c:dPt>
          <c:dPt>
            <c:idx val="3"/>
            <c:invertIfNegative val="0"/>
            <c:bubble3D val="0"/>
            <c:spPr>
              <a:solidFill>
                <a:schemeClr val="accent4">
                  <a:lumMod val="40000"/>
                  <a:lumOff val="60000"/>
                </a:schemeClr>
              </a:solidFill>
            </c:spPr>
            <c:extLst xmlns:c16r2="http://schemas.microsoft.com/office/drawing/2015/06/chart">
              <c:ext xmlns:c16="http://schemas.microsoft.com/office/drawing/2014/chart" uri="{C3380CC4-5D6E-409C-BE32-E72D297353CC}">
                <c16:uniqueId val="{00000003-FC1E-428D-9FF9-43B640C5AA45}"/>
              </c:ext>
            </c:extLst>
          </c:dPt>
          <c:dPt>
            <c:idx val="5"/>
            <c:invertIfNegative val="0"/>
            <c:bubble3D val="0"/>
            <c:spPr>
              <a:solidFill>
                <a:schemeClr val="accent4">
                  <a:lumMod val="40000"/>
                  <a:lumOff val="60000"/>
                </a:schemeClr>
              </a:solidFill>
            </c:spPr>
            <c:extLst xmlns:c16r2="http://schemas.microsoft.com/office/drawing/2015/06/chart">
              <c:ext xmlns:c16="http://schemas.microsoft.com/office/drawing/2014/chart" uri="{C3380CC4-5D6E-409C-BE32-E72D297353CC}">
                <c16:uniqueId val="{00000005-FC1E-428D-9FF9-43B640C5AA45}"/>
              </c:ext>
            </c:extLst>
          </c:dPt>
          <c:dPt>
            <c:idx val="7"/>
            <c:invertIfNegative val="0"/>
            <c:bubble3D val="0"/>
            <c:spPr>
              <a:solidFill>
                <a:schemeClr val="accent4">
                  <a:lumMod val="40000"/>
                  <a:lumOff val="60000"/>
                </a:schemeClr>
              </a:solidFill>
            </c:spPr>
            <c:extLst xmlns:c16r2="http://schemas.microsoft.com/office/drawing/2015/06/chart">
              <c:ext xmlns:c16="http://schemas.microsoft.com/office/drawing/2014/chart" uri="{C3380CC4-5D6E-409C-BE32-E72D297353CC}">
                <c16:uniqueId val="{00000007-FC1E-428D-9FF9-43B640C5AA45}"/>
              </c:ext>
            </c:extLst>
          </c:dPt>
          <c:dPt>
            <c:idx val="9"/>
            <c:invertIfNegative val="0"/>
            <c:bubble3D val="0"/>
            <c:spPr>
              <a:solidFill>
                <a:schemeClr val="accent4">
                  <a:lumMod val="40000"/>
                  <a:lumOff val="60000"/>
                </a:schemeClr>
              </a:solidFill>
            </c:spPr>
            <c:extLst xmlns:c16r2="http://schemas.microsoft.com/office/drawing/2015/06/chart">
              <c:ext xmlns:c16="http://schemas.microsoft.com/office/drawing/2014/chart" uri="{C3380CC4-5D6E-409C-BE32-E72D297353CC}">
                <c16:uniqueId val="{00000009-FC1E-428D-9FF9-43B640C5AA45}"/>
              </c:ext>
            </c:extLst>
          </c:dPt>
          <c:dPt>
            <c:idx val="11"/>
            <c:invertIfNegative val="0"/>
            <c:bubble3D val="0"/>
            <c:spPr>
              <a:solidFill>
                <a:schemeClr val="accent4">
                  <a:lumMod val="40000"/>
                  <a:lumOff val="60000"/>
                </a:schemeClr>
              </a:solidFill>
            </c:spPr>
            <c:extLst xmlns:c16r2="http://schemas.microsoft.com/office/drawing/2015/06/chart">
              <c:ext xmlns:c16="http://schemas.microsoft.com/office/drawing/2014/chart" uri="{C3380CC4-5D6E-409C-BE32-E72D297353CC}">
                <c16:uniqueId val="{0000000B-FC1E-428D-9FF9-43B640C5AA45}"/>
              </c:ext>
            </c:extLst>
          </c:dPt>
          <c:dPt>
            <c:idx val="13"/>
            <c:invertIfNegative val="0"/>
            <c:bubble3D val="0"/>
            <c:spPr>
              <a:solidFill>
                <a:schemeClr val="accent4">
                  <a:lumMod val="40000"/>
                  <a:lumOff val="60000"/>
                </a:schemeClr>
              </a:solidFill>
            </c:spPr>
            <c:extLst xmlns:c16r2="http://schemas.microsoft.com/office/drawing/2015/06/chart">
              <c:ext xmlns:c16="http://schemas.microsoft.com/office/drawing/2014/chart" uri="{C3380CC4-5D6E-409C-BE32-E72D297353CC}">
                <c16:uniqueId val="{0000000D-FC1E-428D-9FF9-43B640C5AA45}"/>
              </c:ext>
            </c:extLst>
          </c:dPt>
          <c:dPt>
            <c:idx val="15"/>
            <c:invertIfNegative val="0"/>
            <c:bubble3D val="0"/>
            <c:spPr>
              <a:solidFill>
                <a:schemeClr val="accent4">
                  <a:lumMod val="40000"/>
                  <a:lumOff val="60000"/>
                </a:schemeClr>
              </a:solidFill>
            </c:spPr>
            <c:extLst xmlns:c16r2="http://schemas.microsoft.com/office/drawing/2015/06/chart">
              <c:ext xmlns:c16="http://schemas.microsoft.com/office/drawing/2014/chart" uri="{C3380CC4-5D6E-409C-BE32-E72D297353CC}">
                <c16:uniqueId val="{0000000F-FC1E-428D-9FF9-43B640C5AA45}"/>
              </c:ext>
            </c:extLst>
          </c:dPt>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Φύλλο1!$A$2:$A$20</c:f>
              <c:strCache>
                <c:ptCount val="19"/>
                <c:pt idx="0">
                  <c:v>ΙΟΥΛ. 2010</c:v>
                </c:pt>
                <c:pt idx="1">
                  <c:v>ΙΑΝ. 2011</c:v>
                </c:pt>
                <c:pt idx="2">
                  <c:v>ΙΟΥΛ. 2011</c:v>
                </c:pt>
                <c:pt idx="3">
                  <c:v>ΙΑΝ. 2012</c:v>
                </c:pt>
                <c:pt idx="4">
                  <c:v>ΙΟΥΛ. 2012</c:v>
                </c:pt>
                <c:pt idx="5">
                  <c:v>ΙΑΝ. 2013</c:v>
                </c:pt>
                <c:pt idx="6">
                  <c:v>ΙΟΥΛ. 2013</c:v>
                </c:pt>
                <c:pt idx="7">
                  <c:v>ΦΕΒΡ. 2014</c:v>
                </c:pt>
                <c:pt idx="8">
                  <c:v>ΙΟΥΛ. 2014</c:v>
                </c:pt>
                <c:pt idx="9">
                  <c:v>ΦΕΒΡ. 2015</c:v>
                </c:pt>
                <c:pt idx="10">
                  <c:v>ΙΟΥΛ. 2015</c:v>
                </c:pt>
                <c:pt idx="11">
                  <c:v>ΦΕΒΡ. 2016</c:v>
                </c:pt>
                <c:pt idx="12">
                  <c:v>ΙΟΥΛ. 2016</c:v>
                </c:pt>
                <c:pt idx="13">
                  <c:v>ΦΕΒΡ. 2017</c:v>
                </c:pt>
                <c:pt idx="14">
                  <c:v>ΙΟΥΛ. 2017</c:v>
                </c:pt>
                <c:pt idx="15">
                  <c:v>ΦΕΒΡ. 2018</c:v>
                </c:pt>
                <c:pt idx="16">
                  <c:v>ΙΟΥΛ. 2018</c:v>
                </c:pt>
                <c:pt idx="17">
                  <c:v>ΦΕΒΡ. 2019</c:v>
                </c:pt>
                <c:pt idx="18">
                  <c:v>ΙΟΥΛ. 2019</c:v>
                </c:pt>
              </c:strCache>
            </c:strRef>
          </c:cat>
          <c:val>
            <c:numRef>
              <c:f>Φύλλο1!$B$2:$B$20</c:f>
              <c:numCache>
                <c:formatCode>General</c:formatCode>
                <c:ptCount val="19"/>
                <c:pt idx="0">
                  <c:v>44.4</c:v>
                </c:pt>
                <c:pt idx="1">
                  <c:v>52.7</c:v>
                </c:pt>
                <c:pt idx="2">
                  <c:v>44.5</c:v>
                </c:pt>
                <c:pt idx="3">
                  <c:v>51.2</c:v>
                </c:pt>
                <c:pt idx="4">
                  <c:v>53.3</c:v>
                </c:pt>
                <c:pt idx="5">
                  <c:v>49.6</c:v>
                </c:pt>
                <c:pt idx="6">
                  <c:v>51.2</c:v>
                </c:pt>
                <c:pt idx="7">
                  <c:v>47.1</c:v>
                </c:pt>
                <c:pt idx="8">
                  <c:v>47.8</c:v>
                </c:pt>
                <c:pt idx="9">
                  <c:v>32.9</c:v>
                </c:pt>
                <c:pt idx="10">
                  <c:v>46.3</c:v>
                </c:pt>
                <c:pt idx="11">
                  <c:v>52.2</c:v>
                </c:pt>
                <c:pt idx="12">
                  <c:v>42</c:v>
                </c:pt>
                <c:pt idx="13">
                  <c:v>40.299999999999997</c:v>
                </c:pt>
                <c:pt idx="14">
                  <c:v>38.1</c:v>
                </c:pt>
                <c:pt idx="15">
                  <c:v>34.5</c:v>
                </c:pt>
                <c:pt idx="16">
                  <c:v>31.4</c:v>
                </c:pt>
                <c:pt idx="17">
                  <c:v>34</c:v>
                </c:pt>
                <c:pt idx="18">
                  <c:v>24.1</c:v>
                </c:pt>
              </c:numCache>
            </c:numRef>
          </c:val>
          <c:extLst xmlns:c16r2="http://schemas.microsoft.com/office/drawing/2015/06/chart">
            <c:ext xmlns:c16="http://schemas.microsoft.com/office/drawing/2014/chart" uri="{C3380CC4-5D6E-409C-BE32-E72D297353CC}">
              <c16:uniqueId val="{00000010-FC1E-428D-9FF9-43B640C5AA45}"/>
            </c:ext>
          </c:extLst>
        </c:ser>
        <c:dLbls>
          <c:showLegendKey val="0"/>
          <c:showVal val="0"/>
          <c:showCatName val="0"/>
          <c:showSerName val="0"/>
          <c:showPercent val="0"/>
          <c:showBubbleSize val="0"/>
        </c:dLbls>
        <c:gapWidth val="75"/>
        <c:axId val="349139328"/>
        <c:axId val="349140864"/>
      </c:barChart>
      <c:catAx>
        <c:axId val="349139328"/>
        <c:scaling>
          <c:orientation val="minMax"/>
        </c:scaling>
        <c:delete val="0"/>
        <c:axPos val="b"/>
        <c:numFmt formatCode="General" sourceLinked="0"/>
        <c:majorTickMark val="out"/>
        <c:minorTickMark val="none"/>
        <c:tickLblPos val="nextTo"/>
        <c:crossAx val="349140864"/>
        <c:crosses val="autoZero"/>
        <c:auto val="1"/>
        <c:lblAlgn val="ctr"/>
        <c:lblOffset val="100"/>
        <c:noMultiLvlLbl val="0"/>
      </c:catAx>
      <c:valAx>
        <c:axId val="349140864"/>
        <c:scaling>
          <c:orientation val="minMax"/>
        </c:scaling>
        <c:delete val="0"/>
        <c:axPos val="l"/>
        <c:majorGridlines/>
        <c:numFmt formatCode="General" sourceLinked="1"/>
        <c:majorTickMark val="out"/>
        <c:minorTickMark val="none"/>
        <c:tickLblPos val="nextTo"/>
        <c:crossAx val="349139328"/>
        <c:crosses val="autoZero"/>
        <c:crossBetween val="between"/>
      </c:valAx>
    </c:plotArea>
    <c:plotVisOnly val="1"/>
    <c:dispBlanksAs val="gap"/>
    <c:showDLblsOverMax val="0"/>
  </c:chart>
  <c:txPr>
    <a:bodyPr/>
    <a:lstStyle/>
    <a:p>
      <a:pPr>
        <a:defRPr sz="800"/>
      </a:pPr>
      <a:endParaRPr lang="el-GR"/>
    </a:p>
  </c:txPr>
  <c:externalData r:id="rId2">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Φύλλο1!$B$1</c:f>
              <c:strCache>
                <c:ptCount val="1"/>
                <c:pt idx="0">
                  <c:v>Στήλη1</c:v>
                </c:pt>
              </c:strCache>
            </c:strRef>
          </c:tx>
          <c:invertIfNegative val="0"/>
          <c:dPt>
            <c:idx val="0"/>
            <c:invertIfNegative val="0"/>
            <c:bubble3D val="0"/>
            <c:spPr>
              <a:solidFill>
                <a:schemeClr val="tx1">
                  <a:lumMod val="50000"/>
                  <a:lumOff val="50000"/>
                </a:schemeClr>
              </a:solidFill>
            </c:spPr>
            <c:extLst xmlns:c16r2="http://schemas.microsoft.com/office/drawing/2015/06/chart">
              <c:ext xmlns:c16="http://schemas.microsoft.com/office/drawing/2014/chart" uri="{C3380CC4-5D6E-409C-BE32-E72D297353CC}">
                <c16:uniqueId val="{00000000-19EA-466F-B4BF-95CA86D89447}"/>
              </c:ext>
            </c:extLst>
          </c:dPt>
          <c:dLbls>
            <c:spPr>
              <a:noFill/>
              <a:ln>
                <a:noFill/>
              </a:ln>
              <a:effectLst/>
            </c:spPr>
            <c:txPr>
              <a:bodyPr/>
              <a:lstStyle/>
              <a:p>
                <a:pPr>
                  <a:defRPr sz="1400">
                    <a:latin typeface="Calibri" panose="020F0502020204030204" pitchFamily="34" charset="0"/>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Φύλλο1!$A$2:$A$11</c:f>
              <c:strCache>
                <c:ptCount val="10"/>
                <c:pt idx="0">
                  <c:v>ΔΑ</c:v>
                </c:pt>
                <c:pt idx="1">
                  <c:v>Άλλο </c:v>
                </c:pt>
                <c:pt idx="2">
                  <c:v>Ληξιπρόθεσμες οφειλές προς τράπεζες – δημόσιο</c:v>
                </c:pt>
                <c:pt idx="3">
                  <c:v>Ενεργειακό κόστος</c:v>
                </c:pt>
                <c:pt idx="4">
                  <c:v>Γραφειοκρατία – Υψηλό διοικητικό κόστος συμμόρφωσης</c:v>
                </c:pt>
                <c:pt idx="5">
                  <c:v>Αθέμιτος ανταγωνισμός</c:v>
                </c:pt>
                <c:pt idx="6">
                  <c:v>Υψηλό μη μισθολογικό κόστος (ασφαλιστικές εισφορές εργαζομένων)</c:v>
                </c:pt>
                <c:pt idx="7">
                  <c:v>Έλλειψη ρευστότητας – χρηματοδότησης</c:v>
                </c:pt>
                <c:pt idx="8">
                  <c:v>Χαμηλή ζήτηση – μειωμένη αγοραστική δύναμη</c:v>
                </c:pt>
                <c:pt idx="9">
                  <c:v>Υψηλός ΦΠΑ –Υψηλή φορολογία</c:v>
                </c:pt>
              </c:strCache>
            </c:strRef>
          </c:cat>
          <c:val>
            <c:numRef>
              <c:f>Φύλλο1!$B$2:$B$11</c:f>
              <c:numCache>
                <c:formatCode>0.0</c:formatCode>
                <c:ptCount val="10"/>
                <c:pt idx="0">
                  <c:v>1.3647642679900744</c:v>
                </c:pt>
                <c:pt idx="1">
                  <c:v>2.4813895781637716</c:v>
                </c:pt>
                <c:pt idx="2">
                  <c:v>5.8312655086848633</c:v>
                </c:pt>
                <c:pt idx="3">
                  <c:v>8.3126550868486344</c:v>
                </c:pt>
                <c:pt idx="4">
                  <c:v>12.779156327543422</c:v>
                </c:pt>
                <c:pt idx="5">
                  <c:v>18.114143920595534</c:v>
                </c:pt>
                <c:pt idx="6">
                  <c:v>19.23076923076923</c:v>
                </c:pt>
                <c:pt idx="7">
                  <c:v>25.310173697270471</c:v>
                </c:pt>
                <c:pt idx="8">
                  <c:v>31.637717121588089</c:v>
                </c:pt>
                <c:pt idx="9">
                  <c:v>73.821339950372206</c:v>
                </c:pt>
              </c:numCache>
            </c:numRef>
          </c:val>
          <c:extLst xmlns:c16r2="http://schemas.microsoft.com/office/drawing/2015/06/chart">
            <c:ext xmlns:c16="http://schemas.microsoft.com/office/drawing/2014/chart" uri="{C3380CC4-5D6E-409C-BE32-E72D297353CC}">
              <c16:uniqueId val="{00000001-19EA-466F-B4BF-95CA86D89447}"/>
            </c:ext>
          </c:extLst>
        </c:ser>
        <c:dLbls>
          <c:showLegendKey val="0"/>
          <c:showVal val="0"/>
          <c:showCatName val="0"/>
          <c:showSerName val="0"/>
          <c:showPercent val="0"/>
          <c:showBubbleSize val="0"/>
        </c:dLbls>
        <c:gapWidth val="75"/>
        <c:axId val="349637248"/>
        <c:axId val="349667712"/>
      </c:barChart>
      <c:catAx>
        <c:axId val="349637248"/>
        <c:scaling>
          <c:orientation val="minMax"/>
        </c:scaling>
        <c:delete val="0"/>
        <c:axPos val="l"/>
        <c:numFmt formatCode="General" sourceLinked="0"/>
        <c:majorTickMark val="out"/>
        <c:minorTickMark val="none"/>
        <c:tickLblPos val="nextTo"/>
        <c:txPr>
          <a:bodyPr/>
          <a:lstStyle/>
          <a:p>
            <a:pPr>
              <a:defRPr sz="1000">
                <a:latin typeface="Calibri" panose="020F0502020204030204" pitchFamily="34" charset="0"/>
              </a:defRPr>
            </a:pPr>
            <a:endParaRPr lang="el-GR"/>
          </a:p>
        </c:txPr>
        <c:crossAx val="349667712"/>
        <c:crosses val="autoZero"/>
        <c:auto val="1"/>
        <c:lblAlgn val="ctr"/>
        <c:lblOffset val="100"/>
        <c:noMultiLvlLbl val="0"/>
      </c:catAx>
      <c:valAx>
        <c:axId val="349667712"/>
        <c:scaling>
          <c:orientation val="minMax"/>
          <c:max val="100"/>
          <c:min val="0"/>
        </c:scaling>
        <c:delete val="0"/>
        <c:axPos val="b"/>
        <c:majorGridlines/>
        <c:numFmt formatCode="0.0" sourceLinked="1"/>
        <c:majorTickMark val="out"/>
        <c:minorTickMark val="none"/>
        <c:tickLblPos val="nextTo"/>
        <c:txPr>
          <a:bodyPr/>
          <a:lstStyle/>
          <a:p>
            <a:pPr>
              <a:defRPr sz="1200">
                <a:latin typeface="Calibri" panose="020F0502020204030204" pitchFamily="34" charset="0"/>
              </a:defRPr>
            </a:pPr>
            <a:endParaRPr lang="el-GR"/>
          </a:p>
        </c:txPr>
        <c:crossAx val="349637248"/>
        <c:crosses val="autoZero"/>
        <c:crossBetween val="between"/>
        <c:majorUnit val="20"/>
      </c:valAx>
    </c:plotArea>
    <c:plotVisOnly val="1"/>
    <c:dispBlanksAs val="gap"/>
    <c:showDLblsOverMax val="0"/>
  </c:chart>
  <c:txPr>
    <a:bodyPr/>
    <a:lstStyle/>
    <a:p>
      <a:pPr>
        <a:defRPr sz="1800"/>
      </a:pPr>
      <a:endParaRPr lang="el-GR"/>
    </a:p>
  </c:txPr>
  <c:externalData r:id="rId2">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Φύλλο1!$B$1</c:f>
              <c:strCache>
                <c:ptCount val="1"/>
                <c:pt idx="0">
                  <c:v>Σειρά 1</c:v>
                </c:pt>
              </c:strCache>
            </c:strRef>
          </c:tx>
          <c:invertIfNegative val="0"/>
          <c:dPt>
            <c:idx val="0"/>
            <c:invertIfNegative val="0"/>
            <c:bubble3D val="0"/>
            <c:spPr>
              <a:solidFill>
                <a:schemeClr val="accent2">
                  <a:lumMod val="75000"/>
                </a:schemeClr>
              </a:solidFill>
            </c:spPr>
            <c:extLst xmlns:c16r2="http://schemas.microsoft.com/office/drawing/2015/06/chart">
              <c:ext xmlns:c16="http://schemas.microsoft.com/office/drawing/2014/chart" uri="{C3380CC4-5D6E-409C-BE32-E72D297353CC}">
                <c16:uniqueId val="{00000000-13F4-4C33-8846-6EFF29AE85EA}"/>
              </c:ext>
            </c:extLst>
          </c:dPt>
          <c:dPt>
            <c:idx val="2"/>
            <c:invertIfNegative val="0"/>
            <c:bubble3D val="0"/>
            <c:spPr>
              <a:solidFill>
                <a:schemeClr val="accent2">
                  <a:lumMod val="60000"/>
                  <a:lumOff val="40000"/>
                </a:schemeClr>
              </a:solidFill>
            </c:spPr>
            <c:extLst xmlns:c16r2="http://schemas.microsoft.com/office/drawing/2015/06/chart">
              <c:ext xmlns:c16="http://schemas.microsoft.com/office/drawing/2014/chart" uri="{C3380CC4-5D6E-409C-BE32-E72D297353CC}">
                <c16:uniqueId val="{00000001-13F4-4C33-8846-6EFF29AE85EA}"/>
              </c:ext>
            </c:extLst>
          </c:dPt>
          <c:dPt>
            <c:idx val="3"/>
            <c:invertIfNegative val="0"/>
            <c:bubble3D val="0"/>
            <c:spPr>
              <a:solidFill>
                <a:schemeClr val="accent3">
                  <a:lumMod val="75000"/>
                </a:schemeClr>
              </a:solidFill>
            </c:spPr>
            <c:extLst xmlns:c16r2="http://schemas.microsoft.com/office/drawing/2015/06/chart">
              <c:ext xmlns:c16="http://schemas.microsoft.com/office/drawing/2014/chart" uri="{C3380CC4-5D6E-409C-BE32-E72D297353CC}">
                <c16:uniqueId val="{00000002-13F4-4C33-8846-6EFF29AE85EA}"/>
              </c:ext>
            </c:extLst>
          </c:dPt>
          <c:dLbls>
            <c:dLbl>
              <c:idx val="4"/>
              <c:spPr/>
              <c:txPr>
                <a:bodyPr/>
                <a:lstStyle/>
                <a:p>
                  <a:pPr algn="ctr">
                    <a:defRPr lang="el-GR" sz="1200" b="0" i="0" u="none" strike="noStrike" kern="1200" baseline="0">
                      <a:solidFill>
                        <a:prstClr val="black"/>
                      </a:solidFill>
                      <a:latin typeface="Calibri" panose="020F0502020204030204" pitchFamily="34" charset="0"/>
                      <a:ea typeface="+mn-ea"/>
                      <a:cs typeface="+mn-cs"/>
                    </a:defRPr>
                  </a:pPr>
                  <a:endParaRPr lang="el-GR"/>
                </a:p>
              </c:txPr>
              <c:showLegendKey val="0"/>
              <c:showVal val="1"/>
              <c:showCatName val="0"/>
              <c:showSerName val="0"/>
              <c:showPercent val="0"/>
              <c:showBubbleSize val="0"/>
            </c:dLbl>
            <c:dLbl>
              <c:idx val="5"/>
              <c:spPr/>
              <c:txPr>
                <a:bodyPr/>
                <a:lstStyle/>
                <a:p>
                  <a:pPr algn="ctr">
                    <a:defRPr lang="el-GR" sz="1200" b="0" i="0" u="none" strike="noStrike" kern="1200" baseline="0">
                      <a:solidFill>
                        <a:prstClr val="black"/>
                      </a:solidFill>
                      <a:latin typeface="Calibri" panose="020F0502020204030204" pitchFamily="34" charset="0"/>
                      <a:ea typeface="+mn-ea"/>
                      <a:cs typeface="+mn-cs"/>
                    </a:defRPr>
                  </a:pPr>
                  <a:endParaRPr lang="el-GR"/>
                </a:p>
              </c:txPr>
              <c:showLegendKey val="0"/>
              <c:showVal val="1"/>
              <c:showCatName val="0"/>
              <c:showSerName val="0"/>
              <c:showPercent val="0"/>
              <c:showBubbleSize val="0"/>
            </c:dLbl>
            <c:spPr>
              <a:noFill/>
              <a:ln>
                <a:noFill/>
              </a:ln>
              <a:effectLst/>
            </c:spPr>
            <c:txPr>
              <a:bodyPr/>
              <a:lstStyle/>
              <a:p>
                <a:pPr>
                  <a:defRPr sz="1200">
                    <a:latin typeface="Calibri" panose="020F0502020204030204" pitchFamily="34" charset="0"/>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Φύλλο1!$A$2:$A$6</c:f>
              <c:strCache>
                <c:ptCount val="5"/>
                <c:pt idx="0">
                  <c:v>ΔΑ</c:v>
                </c:pt>
                <c:pt idx="1">
                  <c:v>Όχι</c:v>
                </c:pt>
                <c:pt idx="2">
                  <c:v>Ναι τις ίδιες διακοπές περίπου με πέρυσι</c:v>
                </c:pt>
                <c:pt idx="3">
                  <c:v>Ναι, λιγότερες ημέρες / πιο οικονομικές από πέρυσι</c:v>
                </c:pt>
                <c:pt idx="4">
                  <c:v>Ναι, περισσότερες μέρες / πιο άνετες από πέρυσι</c:v>
                </c:pt>
              </c:strCache>
            </c:strRef>
          </c:cat>
          <c:val>
            <c:numRef>
              <c:f>Φύλλο1!$B$2:$B$6</c:f>
              <c:numCache>
                <c:formatCode>0.0</c:formatCode>
                <c:ptCount val="5"/>
                <c:pt idx="0">
                  <c:v>2.3573200992555829</c:v>
                </c:pt>
                <c:pt idx="1">
                  <c:v>43.920595533498762</c:v>
                </c:pt>
                <c:pt idx="2">
                  <c:v>38.70967741935484</c:v>
                </c:pt>
                <c:pt idx="3">
                  <c:v>11.538461538461538</c:v>
                </c:pt>
                <c:pt idx="4">
                  <c:v>3.4739454094292803</c:v>
                </c:pt>
              </c:numCache>
            </c:numRef>
          </c:val>
          <c:extLst xmlns:c16r2="http://schemas.microsoft.com/office/drawing/2015/06/chart">
            <c:ext xmlns:c16="http://schemas.microsoft.com/office/drawing/2014/chart" uri="{C3380CC4-5D6E-409C-BE32-E72D297353CC}">
              <c16:uniqueId val="{00000005-13F4-4C33-8846-6EFF29AE85EA}"/>
            </c:ext>
          </c:extLst>
        </c:ser>
        <c:dLbls>
          <c:showLegendKey val="0"/>
          <c:showVal val="0"/>
          <c:showCatName val="0"/>
          <c:showSerName val="0"/>
          <c:showPercent val="0"/>
          <c:showBubbleSize val="0"/>
        </c:dLbls>
        <c:gapWidth val="72"/>
        <c:axId val="349687168"/>
        <c:axId val="348132480"/>
      </c:barChart>
      <c:catAx>
        <c:axId val="349687168"/>
        <c:scaling>
          <c:orientation val="minMax"/>
        </c:scaling>
        <c:delete val="0"/>
        <c:axPos val="l"/>
        <c:numFmt formatCode="General" sourceLinked="0"/>
        <c:majorTickMark val="out"/>
        <c:minorTickMark val="none"/>
        <c:tickLblPos val="nextTo"/>
        <c:txPr>
          <a:bodyPr/>
          <a:lstStyle/>
          <a:p>
            <a:pPr>
              <a:defRPr sz="1000">
                <a:latin typeface="Calibri" panose="020F0502020204030204" pitchFamily="34" charset="0"/>
              </a:defRPr>
            </a:pPr>
            <a:endParaRPr lang="el-GR"/>
          </a:p>
        </c:txPr>
        <c:crossAx val="348132480"/>
        <c:crosses val="autoZero"/>
        <c:auto val="1"/>
        <c:lblAlgn val="ctr"/>
        <c:lblOffset val="100"/>
        <c:noMultiLvlLbl val="0"/>
      </c:catAx>
      <c:valAx>
        <c:axId val="348132480"/>
        <c:scaling>
          <c:orientation val="minMax"/>
          <c:max val="100"/>
        </c:scaling>
        <c:delete val="0"/>
        <c:axPos val="b"/>
        <c:numFmt formatCode="0.0" sourceLinked="1"/>
        <c:majorTickMark val="out"/>
        <c:minorTickMark val="none"/>
        <c:tickLblPos val="nextTo"/>
        <c:txPr>
          <a:bodyPr/>
          <a:lstStyle/>
          <a:p>
            <a:pPr>
              <a:defRPr sz="1200">
                <a:latin typeface="Calibri" panose="020F0502020204030204" pitchFamily="34" charset="0"/>
              </a:defRPr>
            </a:pPr>
            <a:endParaRPr lang="el-GR"/>
          </a:p>
        </c:txPr>
        <c:crossAx val="349687168"/>
        <c:crosses val="autoZero"/>
        <c:crossBetween val="between"/>
        <c:majorUnit val="20"/>
      </c:valAx>
    </c:plotArea>
    <c:plotVisOnly val="1"/>
    <c:dispBlanksAs val="gap"/>
    <c:showDLblsOverMax val="0"/>
  </c:chart>
  <c:txPr>
    <a:bodyPr/>
    <a:lstStyle/>
    <a:p>
      <a:pPr>
        <a:defRPr sz="1800"/>
      </a:pPr>
      <a:endParaRPr lang="el-GR"/>
    </a:p>
  </c:txPr>
  <c:externalData r:id="rId2">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l-GR"/>
              <a:t>Δείκτης</a:t>
            </a:r>
            <a:r>
              <a:rPr lang="el-GR" baseline="0"/>
              <a:t> Κύκλου Εργασιών</a:t>
            </a:r>
            <a:endParaRPr lang="el-GR"/>
          </a:p>
        </c:rich>
      </c:tx>
      <c:overlay val="0"/>
    </c:title>
    <c:autoTitleDeleted val="0"/>
    <c:plotArea>
      <c:layout/>
      <c:lineChart>
        <c:grouping val="standard"/>
        <c:varyColors val="0"/>
        <c:ser>
          <c:idx val="0"/>
          <c:order val="0"/>
          <c:tx>
            <c:strRef>
              <c:f>'ΚΥΚΛΟΣ ΕΡΓΑΣΙΩΝ'!$A$4</c:f>
              <c:strCache>
                <c:ptCount val="1"/>
                <c:pt idx="0">
                  <c:v>ΑΠΟΤΙΜΗΣΗ</c:v>
                </c:pt>
              </c:strCache>
            </c:strRef>
          </c:tx>
          <c:marker>
            <c:symbol val="none"/>
          </c:marker>
          <c:cat>
            <c:strRef>
              <c:f>'ΚΥΚΛΟΣ ΕΡΓΑΣΙΩΝ'!$B$3:$V$3</c:f>
              <c:strCache>
                <c:ptCount val="21"/>
                <c:pt idx="0">
                  <c:v>2009Β</c:v>
                </c:pt>
                <c:pt idx="1">
                  <c:v>2010Α</c:v>
                </c:pt>
                <c:pt idx="2">
                  <c:v>2010Β</c:v>
                </c:pt>
                <c:pt idx="3">
                  <c:v>2011Α</c:v>
                </c:pt>
                <c:pt idx="4">
                  <c:v>2011Β</c:v>
                </c:pt>
                <c:pt idx="5">
                  <c:v>2012Α</c:v>
                </c:pt>
                <c:pt idx="6">
                  <c:v>2012Β</c:v>
                </c:pt>
                <c:pt idx="7">
                  <c:v>2013Α</c:v>
                </c:pt>
                <c:pt idx="8">
                  <c:v>2013Β</c:v>
                </c:pt>
                <c:pt idx="9">
                  <c:v>2014Α</c:v>
                </c:pt>
                <c:pt idx="10">
                  <c:v>2014Β</c:v>
                </c:pt>
                <c:pt idx="11">
                  <c:v>2015Α</c:v>
                </c:pt>
                <c:pt idx="12">
                  <c:v>2015Β</c:v>
                </c:pt>
                <c:pt idx="13">
                  <c:v>2016Α</c:v>
                </c:pt>
                <c:pt idx="14">
                  <c:v>2016Β</c:v>
                </c:pt>
                <c:pt idx="15">
                  <c:v>2017Α</c:v>
                </c:pt>
                <c:pt idx="16">
                  <c:v>2017Β</c:v>
                </c:pt>
                <c:pt idx="17">
                  <c:v>2018Α</c:v>
                </c:pt>
                <c:pt idx="18">
                  <c:v>2018Β</c:v>
                </c:pt>
                <c:pt idx="19">
                  <c:v>2019Α</c:v>
                </c:pt>
                <c:pt idx="20">
                  <c:v>2019Β</c:v>
                </c:pt>
              </c:strCache>
            </c:strRef>
          </c:cat>
          <c:val>
            <c:numRef>
              <c:f>'ΚΥΚΛΟΣ ΕΡΓΑΣΙΩΝ'!$B$4:$V$4</c:f>
              <c:numCache>
                <c:formatCode>0.0</c:formatCode>
                <c:ptCount val="21"/>
                <c:pt idx="0">
                  <c:v>29.087261785356077</c:v>
                </c:pt>
                <c:pt idx="1">
                  <c:v>22.76830491474422</c:v>
                </c:pt>
                <c:pt idx="2">
                  <c:v>19.71971971971972</c:v>
                </c:pt>
                <c:pt idx="3">
                  <c:v>19.43605236656596</c:v>
                </c:pt>
                <c:pt idx="4">
                  <c:v>17.251755265797399</c:v>
                </c:pt>
                <c:pt idx="5">
                  <c:v>14.228052472250255</c:v>
                </c:pt>
                <c:pt idx="6">
                  <c:v>18.818818818818826</c:v>
                </c:pt>
                <c:pt idx="7">
                  <c:v>24.200000000000003</c:v>
                </c:pt>
                <c:pt idx="8">
                  <c:v>32.997987927565404</c:v>
                </c:pt>
                <c:pt idx="9">
                  <c:v>34.98483316481294</c:v>
                </c:pt>
                <c:pt idx="10">
                  <c:v>46.586345381526101</c:v>
                </c:pt>
                <c:pt idx="11">
                  <c:v>24.672708962739179</c:v>
                </c:pt>
                <c:pt idx="12">
                  <c:v>36.78391959798995</c:v>
                </c:pt>
                <c:pt idx="13">
                  <c:v>33.299798792756548</c:v>
                </c:pt>
                <c:pt idx="14">
                  <c:v>39.717741935483872</c:v>
                </c:pt>
                <c:pt idx="15">
                  <c:v>41.967871485943775</c:v>
                </c:pt>
                <c:pt idx="16">
                  <c:v>53.300000000000004</c:v>
                </c:pt>
                <c:pt idx="17">
                  <c:v>51.769464105156729</c:v>
                </c:pt>
                <c:pt idx="18">
                  <c:v>62.324649298597201</c:v>
                </c:pt>
                <c:pt idx="19">
                  <c:v>58.434959349593491</c:v>
                </c:pt>
              </c:numCache>
            </c:numRef>
          </c:val>
          <c:smooth val="0"/>
        </c:ser>
        <c:ser>
          <c:idx val="1"/>
          <c:order val="1"/>
          <c:tx>
            <c:strRef>
              <c:f>'ΚΥΚΛΟΣ ΕΡΓΑΣΙΩΝ'!$A$5</c:f>
              <c:strCache>
                <c:ptCount val="1"/>
                <c:pt idx="0">
                  <c:v>ΠΡΟΒΛΕΨΗ (T+1)</c:v>
                </c:pt>
              </c:strCache>
            </c:strRef>
          </c:tx>
          <c:marker>
            <c:symbol val="none"/>
          </c:marker>
          <c:cat>
            <c:strRef>
              <c:f>'ΚΥΚΛΟΣ ΕΡΓΑΣΙΩΝ'!$B$3:$V$3</c:f>
              <c:strCache>
                <c:ptCount val="21"/>
                <c:pt idx="0">
                  <c:v>2009Β</c:v>
                </c:pt>
                <c:pt idx="1">
                  <c:v>2010Α</c:v>
                </c:pt>
                <c:pt idx="2">
                  <c:v>2010Β</c:v>
                </c:pt>
                <c:pt idx="3">
                  <c:v>2011Α</c:v>
                </c:pt>
                <c:pt idx="4">
                  <c:v>2011Β</c:v>
                </c:pt>
                <c:pt idx="5">
                  <c:v>2012Α</c:v>
                </c:pt>
                <c:pt idx="6">
                  <c:v>2012Β</c:v>
                </c:pt>
                <c:pt idx="7">
                  <c:v>2013Α</c:v>
                </c:pt>
                <c:pt idx="8">
                  <c:v>2013Β</c:v>
                </c:pt>
                <c:pt idx="9">
                  <c:v>2014Α</c:v>
                </c:pt>
                <c:pt idx="10">
                  <c:v>2014Β</c:v>
                </c:pt>
                <c:pt idx="11">
                  <c:v>2015Α</c:v>
                </c:pt>
                <c:pt idx="12">
                  <c:v>2015Β</c:v>
                </c:pt>
                <c:pt idx="13">
                  <c:v>2016Α</c:v>
                </c:pt>
                <c:pt idx="14">
                  <c:v>2016Β</c:v>
                </c:pt>
                <c:pt idx="15">
                  <c:v>2017Α</c:v>
                </c:pt>
                <c:pt idx="16">
                  <c:v>2017Β</c:v>
                </c:pt>
                <c:pt idx="17">
                  <c:v>2018Α</c:v>
                </c:pt>
                <c:pt idx="18">
                  <c:v>2018Β</c:v>
                </c:pt>
                <c:pt idx="19">
                  <c:v>2019Α</c:v>
                </c:pt>
                <c:pt idx="20">
                  <c:v>2019Β</c:v>
                </c:pt>
              </c:strCache>
            </c:strRef>
          </c:cat>
          <c:val>
            <c:numRef>
              <c:f>'ΚΥΚΛΟΣ ΕΡΓΑΣΙΩΝ'!$B$5:$V$5</c:f>
              <c:numCache>
                <c:formatCode>0.0</c:formatCode>
                <c:ptCount val="21"/>
                <c:pt idx="1">
                  <c:v>44.234800838574429</c:v>
                </c:pt>
                <c:pt idx="2">
                  <c:v>21.730382293762574</c:v>
                </c:pt>
                <c:pt idx="3">
                  <c:v>27.909371781668384</c:v>
                </c:pt>
                <c:pt idx="4">
                  <c:v>31.678986272439289</c:v>
                </c:pt>
                <c:pt idx="5">
                  <c:v>18.969072164948457</c:v>
                </c:pt>
                <c:pt idx="6">
                  <c:v>33.582089552238799</c:v>
                </c:pt>
                <c:pt idx="7">
                  <c:v>34.031413612565444</c:v>
                </c:pt>
                <c:pt idx="8">
                  <c:v>29.528795811518322</c:v>
                </c:pt>
                <c:pt idx="9">
                  <c:v>44.016649323621223</c:v>
                </c:pt>
                <c:pt idx="10">
                  <c:v>41.890440386680986</c:v>
                </c:pt>
                <c:pt idx="11">
                  <c:v>62.68320180383315</c:v>
                </c:pt>
                <c:pt idx="12">
                  <c:v>26.680896478121653</c:v>
                </c:pt>
                <c:pt idx="13">
                  <c:v>37.093275488069409</c:v>
                </c:pt>
                <c:pt idx="14">
                  <c:v>38.034188034188027</c:v>
                </c:pt>
                <c:pt idx="15">
                  <c:v>38.648363252375916</c:v>
                </c:pt>
                <c:pt idx="16">
                  <c:v>52.997858672376879</c:v>
                </c:pt>
                <c:pt idx="17">
                  <c:v>58.928571428571431</c:v>
                </c:pt>
                <c:pt idx="18">
                  <c:v>63.197424892703864</c:v>
                </c:pt>
                <c:pt idx="19">
                  <c:v>66.910994764397913</c:v>
                </c:pt>
                <c:pt idx="20">
                  <c:v>80.156950672645735</c:v>
                </c:pt>
              </c:numCache>
            </c:numRef>
          </c:val>
          <c:smooth val="0"/>
        </c:ser>
        <c:dLbls>
          <c:showLegendKey val="0"/>
          <c:showVal val="0"/>
          <c:showCatName val="0"/>
          <c:showSerName val="0"/>
          <c:showPercent val="0"/>
          <c:showBubbleSize val="0"/>
        </c:dLbls>
        <c:marker val="1"/>
        <c:smooth val="0"/>
        <c:axId val="349513600"/>
        <c:axId val="349515136"/>
      </c:lineChart>
      <c:catAx>
        <c:axId val="349513600"/>
        <c:scaling>
          <c:orientation val="minMax"/>
        </c:scaling>
        <c:delete val="0"/>
        <c:axPos val="b"/>
        <c:majorTickMark val="none"/>
        <c:minorTickMark val="none"/>
        <c:tickLblPos val="low"/>
        <c:txPr>
          <a:bodyPr rot="-3120000"/>
          <a:lstStyle/>
          <a:p>
            <a:pPr>
              <a:defRPr/>
            </a:pPr>
            <a:endParaRPr lang="el-GR"/>
          </a:p>
        </c:txPr>
        <c:crossAx val="349515136"/>
        <c:crosses val="autoZero"/>
        <c:auto val="1"/>
        <c:lblAlgn val="ctr"/>
        <c:lblOffset val="100"/>
        <c:noMultiLvlLbl val="0"/>
      </c:catAx>
      <c:valAx>
        <c:axId val="349515136"/>
        <c:scaling>
          <c:orientation val="minMax"/>
        </c:scaling>
        <c:delete val="0"/>
        <c:axPos val="l"/>
        <c:majorGridlines/>
        <c:numFmt formatCode="0.0" sourceLinked="1"/>
        <c:majorTickMark val="none"/>
        <c:minorTickMark val="none"/>
        <c:tickLblPos val="nextTo"/>
        <c:crossAx val="349513600"/>
        <c:crosses val="autoZero"/>
        <c:crossBetween val="between"/>
      </c:valAx>
    </c:plotArea>
    <c:legend>
      <c:legendPos val="b"/>
      <c:overlay val="0"/>
    </c:legend>
    <c:plotVisOnly val="1"/>
    <c:dispBlanksAs val="gap"/>
    <c:showDLblsOverMax val="0"/>
  </c:chart>
  <c:externalData r:id="rId2">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l-GR"/>
              <a:t>Δείκτης Ζήτησης</a:t>
            </a:r>
          </a:p>
        </c:rich>
      </c:tx>
      <c:overlay val="0"/>
    </c:title>
    <c:autoTitleDeleted val="0"/>
    <c:plotArea>
      <c:layout/>
      <c:lineChart>
        <c:grouping val="standard"/>
        <c:varyColors val="0"/>
        <c:ser>
          <c:idx val="0"/>
          <c:order val="0"/>
          <c:tx>
            <c:strRef>
              <c:f>ΖΗΤΗΣΗ!$A$5</c:f>
              <c:strCache>
                <c:ptCount val="1"/>
                <c:pt idx="0">
                  <c:v>ΑΠΟΤΙΜΗΣΗ</c:v>
                </c:pt>
              </c:strCache>
            </c:strRef>
          </c:tx>
          <c:marker>
            <c:symbol val="none"/>
          </c:marker>
          <c:cat>
            <c:strRef>
              <c:f>ΖΗΤΗΣΗ!$B$4:$V$4</c:f>
              <c:strCache>
                <c:ptCount val="21"/>
                <c:pt idx="0">
                  <c:v>2009Β</c:v>
                </c:pt>
                <c:pt idx="1">
                  <c:v>2010Α</c:v>
                </c:pt>
                <c:pt idx="2">
                  <c:v>2010Β</c:v>
                </c:pt>
                <c:pt idx="3">
                  <c:v>2011Α</c:v>
                </c:pt>
                <c:pt idx="4">
                  <c:v>2011Β</c:v>
                </c:pt>
                <c:pt idx="5">
                  <c:v>2012Α</c:v>
                </c:pt>
                <c:pt idx="6">
                  <c:v>2012Β</c:v>
                </c:pt>
                <c:pt idx="7">
                  <c:v>2013Α</c:v>
                </c:pt>
                <c:pt idx="8">
                  <c:v>2013Β</c:v>
                </c:pt>
                <c:pt idx="9">
                  <c:v>2014Α</c:v>
                </c:pt>
                <c:pt idx="10">
                  <c:v>2014Β</c:v>
                </c:pt>
                <c:pt idx="11">
                  <c:v>2015Α</c:v>
                </c:pt>
                <c:pt idx="12">
                  <c:v>2015Β</c:v>
                </c:pt>
                <c:pt idx="13">
                  <c:v>2016Α</c:v>
                </c:pt>
                <c:pt idx="14">
                  <c:v>2016Β</c:v>
                </c:pt>
                <c:pt idx="15">
                  <c:v>2017Α</c:v>
                </c:pt>
                <c:pt idx="16">
                  <c:v>2017Β</c:v>
                </c:pt>
                <c:pt idx="17">
                  <c:v>2018Α</c:v>
                </c:pt>
                <c:pt idx="18">
                  <c:v>2018Β</c:v>
                </c:pt>
                <c:pt idx="19">
                  <c:v>2019Α</c:v>
                </c:pt>
                <c:pt idx="20">
                  <c:v>2019Β</c:v>
                </c:pt>
              </c:strCache>
            </c:strRef>
          </c:cat>
          <c:val>
            <c:numRef>
              <c:f>ΖΗΤΗΣΗ!$B$5:$V$5</c:f>
              <c:numCache>
                <c:formatCode>0.0</c:formatCode>
                <c:ptCount val="21"/>
                <c:pt idx="0">
                  <c:v>28.828828828828847</c:v>
                </c:pt>
                <c:pt idx="1">
                  <c:v>22.76830491474422</c:v>
                </c:pt>
                <c:pt idx="2">
                  <c:v>21.621621621621628</c:v>
                </c:pt>
                <c:pt idx="3">
                  <c:v>21.629778672032188</c:v>
                </c:pt>
                <c:pt idx="4">
                  <c:v>17.670682730923687</c:v>
                </c:pt>
                <c:pt idx="5">
                  <c:v>16.314199395770387</c:v>
                </c:pt>
                <c:pt idx="6">
                  <c:v>21.299999999999997</c:v>
                </c:pt>
                <c:pt idx="7">
                  <c:v>25.400000000000006</c:v>
                </c:pt>
                <c:pt idx="8">
                  <c:v>33.867735470941895</c:v>
                </c:pt>
                <c:pt idx="9">
                  <c:v>35.276381909547723</c:v>
                </c:pt>
                <c:pt idx="10">
                  <c:v>44.689378757515037</c:v>
                </c:pt>
                <c:pt idx="11">
                  <c:v>24.37311935807422</c:v>
                </c:pt>
                <c:pt idx="12">
                  <c:v>36.536536536536538</c:v>
                </c:pt>
                <c:pt idx="13">
                  <c:v>35.943775100401609</c:v>
                </c:pt>
                <c:pt idx="14">
                  <c:v>37.474949899799597</c:v>
                </c:pt>
                <c:pt idx="15">
                  <c:v>43.556443556443561</c:v>
                </c:pt>
                <c:pt idx="16">
                  <c:v>52.505010020040089</c:v>
                </c:pt>
                <c:pt idx="17">
                  <c:v>54.216867469879524</c:v>
                </c:pt>
                <c:pt idx="18">
                  <c:v>63.927855711422843</c:v>
                </c:pt>
                <c:pt idx="19">
                  <c:v>60.96579476861168</c:v>
                </c:pt>
              </c:numCache>
            </c:numRef>
          </c:val>
          <c:smooth val="0"/>
        </c:ser>
        <c:ser>
          <c:idx val="1"/>
          <c:order val="1"/>
          <c:tx>
            <c:strRef>
              <c:f>ΖΗΤΗΣΗ!$A$6</c:f>
              <c:strCache>
                <c:ptCount val="1"/>
                <c:pt idx="0">
                  <c:v>ΠΡΟΒΛΕΨΗ (T+1)</c:v>
                </c:pt>
              </c:strCache>
            </c:strRef>
          </c:tx>
          <c:marker>
            <c:symbol val="none"/>
          </c:marker>
          <c:cat>
            <c:strRef>
              <c:f>ΖΗΤΗΣΗ!$B$4:$V$4</c:f>
              <c:strCache>
                <c:ptCount val="21"/>
                <c:pt idx="0">
                  <c:v>2009Β</c:v>
                </c:pt>
                <c:pt idx="1">
                  <c:v>2010Α</c:v>
                </c:pt>
                <c:pt idx="2">
                  <c:v>2010Β</c:v>
                </c:pt>
                <c:pt idx="3">
                  <c:v>2011Α</c:v>
                </c:pt>
                <c:pt idx="4">
                  <c:v>2011Β</c:v>
                </c:pt>
                <c:pt idx="5">
                  <c:v>2012Α</c:v>
                </c:pt>
                <c:pt idx="6">
                  <c:v>2012Β</c:v>
                </c:pt>
                <c:pt idx="7">
                  <c:v>2013Α</c:v>
                </c:pt>
                <c:pt idx="8">
                  <c:v>2013Β</c:v>
                </c:pt>
                <c:pt idx="9">
                  <c:v>2014Α</c:v>
                </c:pt>
                <c:pt idx="10">
                  <c:v>2014Β</c:v>
                </c:pt>
                <c:pt idx="11">
                  <c:v>2015Α</c:v>
                </c:pt>
                <c:pt idx="12">
                  <c:v>2015Β</c:v>
                </c:pt>
                <c:pt idx="13">
                  <c:v>2016Α</c:v>
                </c:pt>
                <c:pt idx="14">
                  <c:v>2016Β</c:v>
                </c:pt>
                <c:pt idx="15">
                  <c:v>2017Α</c:v>
                </c:pt>
                <c:pt idx="16">
                  <c:v>2017Β</c:v>
                </c:pt>
                <c:pt idx="17">
                  <c:v>2018Α</c:v>
                </c:pt>
                <c:pt idx="18">
                  <c:v>2018Β</c:v>
                </c:pt>
                <c:pt idx="19">
                  <c:v>2019Α</c:v>
                </c:pt>
                <c:pt idx="20">
                  <c:v>2019Β</c:v>
                </c:pt>
              </c:strCache>
            </c:strRef>
          </c:cat>
          <c:val>
            <c:numRef>
              <c:f>ΖΗΤΗΣΗ!$B$6:$V$6</c:f>
              <c:numCache>
                <c:formatCode>0.0</c:formatCode>
                <c:ptCount val="21"/>
                <c:pt idx="1">
                  <c:v>45.283018867924532</c:v>
                </c:pt>
                <c:pt idx="2">
                  <c:v>29.839572192513373</c:v>
                </c:pt>
                <c:pt idx="3">
                  <c:v>27.469135802469125</c:v>
                </c:pt>
                <c:pt idx="4">
                  <c:v>33.964248159831754</c:v>
                </c:pt>
                <c:pt idx="5">
                  <c:v>20.971074380165291</c:v>
                </c:pt>
                <c:pt idx="6">
                  <c:v>33.227513227513228</c:v>
                </c:pt>
                <c:pt idx="7">
                  <c:v>35.202492211838006</c:v>
                </c:pt>
                <c:pt idx="8">
                  <c:v>30.16701461377869</c:v>
                </c:pt>
                <c:pt idx="9">
                  <c:v>45.867768595041326</c:v>
                </c:pt>
                <c:pt idx="10">
                  <c:v>41.914893617021278</c:v>
                </c:pt>
                <c:pt idx="11">
                  <c:v>62.472160356347437</c:v>
                </c:pt>
                <c:pt idx="12">
                  <c:v>28.328008519701811</c:v>
                </c:pt>
                <c:pt idx="13">
                  <c:v>38.900862068965523</c:v>
                </c:pt>
                <c:pt idx="14">
                  <c:v>39.019189765458428</c:v>
                </c:pt>
                <c:pt idx="15">
                  <c:v>39.662447257383967</c:v>
                </c:pt>
                <c:pt idx="16">
                  <c:v>53.525641025641022</c:v>
                </c:pt>
                <c:pt idx="17">
                  <c:v>61.233019853709507</c:v>
                </c:pt>
                <c:pt idx="18">
                  <c:v>64.598930481283418</c:v>
                </c:pt>
                <c:pt idx="19">
                  <c:v>68.487394957983184</c:v>
                </c:pt>
                <c:pt idx="20">
                  <c:v>80.156950672645735</c:v>
                </c:pt>
              </c:numCache>
            </c:numRef>
          </c:val>
          <c:smooth val="0"/>
        </c:ser>
        <c:dLbls>
          <c:showLegendKey val="0"/>
          <c:showVal val="0"/>
          <c:showCatName val="0"/>
          <c:showSerName val="0"/>
          <c:showPercent val="0"/>
          <c:showBubbleSize val="0"/>
        </c:dLbls>
        <c:marker val="1"/>
        <c:smooth val="0"/>
        <c:axId val="349548928"/>
        <c:axId val="349550464"/>
      </c:lineChart>
      <c:catAx>
        <c:axId val="349548928"/>
        <c:scaling>
          <c:orientation val="minMax"/>
        </c:scaling>
        <c:delete val="0"/>
        <c:axPos val="b"/>
        <c:majorTickMark val="none"/>
        <c:minorTickMark val="none"/>
        <c:tickLblPos val="low"/>
        <c:crossAx val="349550464"/>
        <c:crosses val="autoZero"/>
        <c:auto val="1"/>
        <c:lblAlgn val="ctr"/>
        <c:lblOffset val="100"/>
        <c:noMultiLvlLbl val="0"/>
      </c:catAx>
      <c:valAx>
        <c:axId val="349550464"/>
        <c:scaling>
          <c:orientation val="minMax"/>
        </c:scaling>
        <c:delete val="0"/>
        <c:axPos val="l"/>
        <c:majorGridlines/>
        <c:numFmt formatCode="0.0" sourceLinked="1"/>
        <c:majorTickMark val="none"/>
        <c:minorTickMark val="none"/>
        <c:tickLblPos val="nextTo"/>
        <c:crossAx val="349548928"/>
        <c:crosses val="autoZero"/>
        <c:crossBetween val="between"/>
      </c:valAx>
    </c:plotArea>
    <c:legend>
      <c:legendPos val="b"/>
      <c:overlay val="0"/>
    </c:legend>
    <c:plotVisOnly val="1"/>
    <c:dispBlanksAs val="gap"/>
    <c:showDLblsOverMax val="0"/>
  </c:chart>
  <c:externalData r:id="rId2">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l-GR"/>
              <a:t>Δείκτης</a:t>
            </a:r>
            <a:r>
              <a:rPr lang="el-GR" baseline="0"/>
              <a:t> ρευστότητας</a:t>
            </a:r>
            <a:endParaRPr lang="el-GR"/>
          </a:p>
        </c:rich>
      </c:tx>
      <c:overlay val="0"/>
    </c:title>
    <c:autoTitleDeleted val="0"/>
    <c:plotArea>
      <c:layout/>
      <c:lineChart>
        <c:grouping val="standard"/>
        <c:varyColors val="0"/>
        <c:ser>
          <c:idx val="0"/>
          <c:order val="0"/>
          <c:tx>
            <c:strRef>
              <c:f>ΡΕΥΣΤΟΤΗΤΑ!$A$3</c:f>
              <c:strCache>
                <c:ptCount val="1"/>
                <c:pt idx="0">
                  <c:v>ΑΠΟΤΙΜΗΣΗ</c:v>
                </c:pt>
              </c:strCache>
            </c:strRef>
          </c:tx>
          <c:marker>
            <c:symbol val="none"/>
          </c:marker>
          <c:cat>
            <c:strRef>
              <c:f>ΡΕΥΣΤΟΤΗΤΑ!$B$2:$V$2</c:f>
              <c:strCache>
                <c:ptCount val="21"/>
                <c:pt idx="0">
                  <c:v>2009Β</c:v>
                </c:pt>
                <c:pt idx="1">
                  <c:v>2010Α</c:v>
                </c:pt>
                <c:pt idx="2">
                  <c:v>2010Β</c:v>
                </c:pt>
                <c:pt idx="3">
                  <c:v>2011Α</c:v>
                </c:pt>
                <c:pt idx="4">
                  <c:v>2011Β</c:v>
                </c:pt>
                <c:pt idx="5">
                  <c:v>2012Α</c:v>
                </c:pt>
                <c:pt idx="6">
                  <c:v>2012Β</c:v>
                </c:pt>
                <c:pt idx="7">
                  <c:v>2013Α</c:v>
                </c:pt>
                <c:pt idx="8">
                  <c:v>2013Β</c:v>
                </c:pt>
                <c:pt idx="9">
                  <c:v>2014Α</c:v>
                </c:pt>
                <c:pt idx="10">
                  <c:v>2014Β</c:v>
                </c:pt>
                <c:pt idx="11">
                  <c:v>2015Α</c:v>
                </c:pt>
                <c:pt idx="12">
                  <c:v>2015Β</c:v>
                </c:pt>
                <c:pt idx="13">
                  <c:v>2016Α</c:v>
                </c:pt>
                <c:pt idx="14">
                  <c:v>2016Β</c:v>
                </c:pt>
                <c:pt idx="15">
                  <c:v>2017Α</c:v>
                </c:pt>
                <c:pt idx="16">
                  <c:v>2017Β</c:v>
                </c:pt>
                <c:pt idx="17">
                  <c:v>2018Α</c:v>
                </c:pt>
                <c:pt idx="18">
                  <c:v>2018Β</c:v>
                </c:pt>
                <c:pt idx="19">
                  <c:v>2019Α</c:v>
                </c:pt>
                <c:pt idx="20">
                  <c:v>2019Β</c:v>
                </c:pt>
              </c:strCache>
            </c:strRef>
          </c:cat>
          <c:val>
            <c:numRef>
              <c:f>ΡΕΥΣΤΟΤΗΤΑ!$B$3:$V$3</c:f>
              <c:numCache>
                <c:formatCode>0.0</c:formatCode>
                <c:ptCount val="21"/>
                <c:pt idx="0">
                  <c:v>25.22522522522523</c:v>
                </c:pt>
                <c:pt idx="1">
                  <c:v>20.282542885973768</c:v>
                </c:pt>
                <c:pt idx="2">
                  <c:v>15.531062124248493</c:v>
                </c:pt>
                <c:pt idx="3">
                  <c:v>16.733870967741936</c:v>
                </c:pt>
                <c:pt idx="4">
                  <c:v>13.841524573721173</c:v>
                </c:pt>
                <c:pt idx="5">
                  <c:v>12.714429868819366</c:v>
                </c:pt>
                <c:pt idx="6">
                  <c:v>14.829659318637269</c:v>
                </c:pt>
                <c:pt idx="7">
                  <c:v>18.299999999999997</c:v>
                </c:pt>
                <c:pt idx="8">
                  <c:v>23.316582914572862</c:v>
                </c:pt>
                <c:pt idx="9">
                  <c:v>26.760563380281681</c:v>
                </c:pt>
                <c:pt idx="10">
                  <c:v>37.223340040241453</c:v>
                </c:pt>
                <c:pt idx="11">
                  <c:v>17.806841046277668</c:v>
                </c:pt>
                <c:pt idx="12">
                  <c:v>25.100401606425706</c:v>
                </c:pt>
                <c:pt idx="13">
                  <c:v>23.665659617321253</c:v>
                </c:pt>
                <c:pt idx="14">
                  <c:v>29.405840886203436</c:v>
                </c:pt>
                <c:pt idx="15">
                  <c:v>34.434434434434436</c:v>
                </c:pt>
                <c:pt idx="16">
                  <c:v>41.575274177467598</c:v>
                </c:pt>
                <c:pt idx="17">
                  <c:v>46.208291203235596</c:v>
                </c:pt>
                <c:pt idx="18">
                  <c:v>51.356783919597987</c:v>
                </c:pt>
                <c:pt idx="19">
                  <c:v>53.036437246963558</c:v>
                </c:pt>
              </c:numCache>
            </c:numRef>
          </c:val>
          <c:smooth val="0"/>
        </c:ser>
        <c:ser>
          <c:idx val="1"/>
          <c:order val="1"/>
          <c:tx>
            <c:strRef>
              <c:f>ΡΕΥΣΤΟΤΗΤΑ!$A$4</c:f>
              <c:strCache>
                <c:ptCount val="1"/>
                <c:pt idx="0">
                  <c:v>ΠΡΟΒΛΕΨΗ (T+1)</c:v>
                </c:pt>
              </c:strCache>
            </c:strRef>
          </c:tx>
          <c:marker>
            <c:symbol val="none"/>
          </c:marker>
          <c:cat>
            <c:strRef>
              <c:f>ΡΕΥΣΤΟΤΗΤΑ!$B$2:$V$2</c:f>
              <c:strCache>
                <c:ptCount val="21"/>
                <c:pt idx="0">
                  <c:v>2009Β</c:v>
                </c:pt>
                <c:pt idx="1">
                  <c:v>2010Α</c:v>
                </c:pt>
                <c:pt idx="2">
                  <c:v>2010Β</c:v>
                </c:pt>
                <c:pt idx="3">
                  <c:v>2011Α</c:v>
                </c:pt>
                <c:pt idx="4">
                  <c:v>2011Β</c:v>
                </c:pt>
                <c:pt idx="5">
                  <c:v>2012Α</c:v>
                </c:pt>
                <c:pt idx="6">
                  <c:v>2012Β</c:v>
                </c:pt>
                <c:pt idx="7">
                  <c:v>2013Α</c:v>
                </c:pt>
                <c:pt idx="8">
                  <c:v>2013Β</c:v>
                </c:pt>
                <c:pt idx="9">
                  <c:v>2014Α</c:v>
                </c:pt>
                <c:pt idx="10">
                  <c:v>2014Β</c:v>
                </c:pt>
                <c:pt idx="11">
                  <c:v>2015Α</c:v>
                </c:pt>
                <c:pt idx="12">
                  <c:v>2015Β</c:v>
                </c:pt>
                <c:pt idx="13">
                  <c:v>2016Α</c:v>
                </c:pt>
                <c:pt idx="14">
                  <c:v>2016Β</c:v>
                </c:pt>
                <c:pt idx="15">
                  <c:v>2017Α</c:v>
                </c:pt>
                <c:pt idx="16">
                  <c:v>2017Β</c:v>
                </c:pt>
                <c:pt idx="17">
                  <c:v>2018Α</c:v>
                </c:pt>
                <c:pt idx="18">
                  <c:v>2018Β</c:v>
                </c:pt>
                <c:pt idx="19">
                  <c:v>2019Α</c:v>
                </c:pt>
                <c:pt idx="20">
                  <c:v>2019Β</c:v>
                </c:pt>
              </c:strCache>
            </c:strRef>
          </c:cat>
          <c:val>
            <c:numRef>
              <c:f>ΡΕΥΣΤΟΤΗΤΑ!$B$4:$V$4</c:f>
              <c:numCache>
                <c:formatCode>0.0</c:formatCode>
                <c:ptCount val="21"/>
                <c:pt idx="1">
                  <c:v>41.640378548895896</c:v>
                </c:pt>
                <c:pt idx="2">
                  <c:v>28.218884120171666</c:v>
                </c:pt>
                <c:pt idx="3">
                  <c:v>23.794871794871796</c:v>
                </c:pt>
                <c:pt idx="4">
                  <c:v>31.678986272439289</c:v>
                </c:pt>
                <c:pt idx="5">
                  <c:v>17.543859649122808</c:v>
                </c:pt>
                <c:pt idx="6">
                  <c:v>31.316348195329084</c:v>
                </c:pt>
                <c:pt idx="7">
                  <c:v>30.873180873180871</c:v>
                </c:pt>
                <c:pt idx="8">
                  <c:v>27.442827442827451</c:v>
                </c:pt>
                <c:pt idx="9">
                  <c:v>41.761658031088082</c:v>
                </c:pt>
                <c:pt idx="10">
                  <c:v>39.765458422174838</c:v>
                </c:pt>
                <c:pt idx="11">
                  <c:v>58.862876254180598</c:v>
                </c:pt>
                <c:pt idx="12">
                  <c:v>24.867724867724874</c:v>
                </c:pt>
                <c:pt idx="13">
                  <c:v>33.582887700534755</c:v>
                </c:pt>
                <c:pt idx="14">
                  <c:v>35.4632587859425</c:v>
                </c:pt>
                <c:pt idx="15">
                  <c:v>34.533898305084747</c:v>
                </c:pt>
                <c:pt idx="16">
                  <c:v>49.893617021276597</c:v>
                </c:pt>
                <c:pt idx="17">
                  <c:v>58.037578288100207</c:v>
                </c:pt>
                <c:pt idx="18">
                  <c:v>61.965811965811966</c:v>
                </c:pt>
                <c:pt idx="19">
                  <c:v>64.475079533404028</c:v>
                </c:pt>
                <c:pt idx="20">
                  <c:v>79.199110122358178</c:v>
                </c:pt>
              </c:numCache>
            </c:numRef>
          </c:val>
          <c:smooth val="0"/>
        </c:ser>
        <c:dLbls>
          <c:showLegendKey val="0"/>
          <c:showVal val="0"/>
          <c:showCatName val="0"/>
          <c:showSerName val="0"/>
          <c:showPercent val="0"/>
          <c:showBubbleSize val="0"/>
        </c:dLbls>
        <c:marker val="1"/>
        <c:smooth val="0"/>
        <c:axId val="349665920"/>
        <c:axId val="350015872"/>
      </c:lineChart>
      <c:catAx>
        <c:axId val="349665920"/>
        <c:scaling>
          <c:orientation val="minMax"/>
        </c:scaling>
        <c:delete val="0"/>
        <c:axPos val="b"/>
        <c:majorTickMark val="none"/>
        <c:minorTickMark val="none"/>
        <c:tickLblPos val="low"/>
        <c:crossAx val="350015872"/>
        <c:crosses val="autoZero"/>
        <c:auto val="1"/>
        <c:lblAlgn val="ctr"/>
        <c:lblOffset val="100"/>
        <c:noMultiLvlLbl val="0"/>
      </c:catAx>
      <c:valAx>
        <c:axId val="350015872"/>
        <c:scaling>
          <c:orientation val="minMax"/>
        </c:scaling>
        <c:delete val="0"/>
        <c:axPos val="l"/>
        <c:majorGridlines/>
        <c:numFmt formatCode="0.0" sourceLinked="1"/>
        <c:majorTickMark val="none"/>
        <c:minorTickMark val="none"/>
        <c:tickLblPos val="nextTo"/>
        <c:crossAx val="349665920"/>
        <c:crosses val="autoZero"/>
        <c:crossBetween val="between"/>
      </c:valAx>
    </c:plotArea>
    <c:legend>
      <c:legendPos val="b"/>
      <c:overlay val="0"/>
    </c:legend>
    <c:plotVisOnly val="1"/>
    <c:dispBlanksAs val="gap"/>
    <c:showDLblsOverMax val="0"/>
  </c:chart>
  <c:externalData r:id="rId2">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l-GR"/>
              <a:t>Δείκτης Παραγγελιών</a:t>
            </a:r>
          </a:p>
        </c:rich>
      </c:tx>
      <c:overlay val="0"/>
    </c:title>
    <c:autoTitleDeleted val="0"/>
    <c:plotArea>
      <c:layout/>
      <c:lineChart>
        <c:grouping val="standard"/>
        <c:varyColors val="0"/>
        <c:ser>
          <c:idx val="0"/>
          <c:order val="0"/>
          <c:tx>
            <c:strRef>
              <c:f>ΠΑΡΑΓΓΕΛΙΕΣ!$A$4</c:f>
              <c:strCache>
                <c:ptCount val="1"/>
                <c:pt idx="0">
                  <c:v>ΑΠΟΤΙΜΗΣΗ</c:v>
                </c:pt>
              </c:strCache>
            </c:strRef>
          </c:tx>
          <c:marker>
            <c:symbol val="none"/>
          </c:marker>
          <c:cat>
            <c:strRef>
              <c:f>ΠΑΡΑΓΓΕΛΙΕΣ!$B$3:$V$3</c:f>
              <c:strCache>
                <c:ptCount val="21"/>
                <c:pt idx="0">
                  <c:v>2009Β</c:v>
                </c:pt>
                <c:pt idx="1">
                  <c:v>2010Α</c:v>
                </c:pt>
                <c:pt idx="2">
                  <c:v>2010Β</c:v>
                </c:pt>
                <c:pt idx="3">
                  <c:v>2011Α</c:v>
                </c:pt>
                <c:pt idx="4">
                  <c:v>2011Β</c:v>
                </c:pt>
                <c:pt idx="5">
                  <c:v>2012Α</c:v>
                </c:pt>
                <c:pt idx="6">
                  <c:v>2012Β</c:v>
                </c:pt>
                <c:pt idx="7">
                  <c:v>2013Α</c:v>
                </c:pt>
                <c:pt idx="8">
                  <c:v>2013Β</c:v>
                </c:pt>
                <c:pt idx="9">
                  <c:v>2014Α</c:v>
                </c:pt>
                <c:pt idx="10">
                  <c:v>2014Β</c:v>
                </c:pt>
                <c:pt idx="11">
                  <c:v>2015Α</c:v>
                </c:pt>
                <c:pt idx="12">
                  <c:v>2015Β</c:v>
                </c:pt>
                <c:pt idx="13">
                  <c:v>2016Α</c:v>
                </c:pt>
                <c:pt idx="14">
                  <c:v>2016Β</c:v>
                </c:pt>
                <c:pt idx="15">
                  <c:v>2017Α</c:v>
                </c:pt>
                <c:pt idx="16">
                  <c:v>2017Β</c:v>
                </c:pt>
                <c:pt idx="17">
                  <c:v>2018Α</c:v>
                </c:pt>
                <c:pt idx="18">
                  <c:v>2018Β</c:v>
                </c:pt>
                <c:pt idx="19">
                  <c:v>2019Α</c:v>
                </c:pt>
                <c:pt idx="20">
                  <c:v>2019Β</c:v>
                </c:pt>
              </c:strCache>
            </c:strRef>
          </c:cat>
          <c:val>
            <c:numRef>
              <c:f>ΠΑΡΑΓΓΕΛΙΕΣ!$B$4:$V$4</c:f>
              <c:numCache>
                <c:formatCode>0.0</c:formatCode>
                <c:ptCount val="21"/>
                <c:pt idx="0">
                  <c:v>26.826722338204604</c:v>
                </c:pt>
                <c:pt idx="1">
                  <c:v>19.810326659641731</c:v>
                </c:pt>
                <c:pt idx="2">
                  <c:v>17.27367325702393</c:v>
                </c:pt>
                <c:pt idx="3">
                  <c:v>17.768595041322314</c:v>
                </c:pt>
                <c:pt idx="4">
                  <c:v>14.534288638689858</c:v>
                </c:pt>
                <c:pt idx="5">
                  <c:v>11.776859504132233</c:v>
                </c:pt>
                <c:pt idx="6">
                  <c:v>10.81370449678802</c:v>
                </c:pt>
                <c:pt idx="7">
                  <c:v>19.711042311661501</c:v>
                </c:pt>
                <c:pt idx="8">
                  <c:v>26.748971193415642</c:v>
                </c:pt>
                <c:pt idx="9">
                  <c:v>30.461538461538467</c:v>
                </c:pt>
                <c:pt idx="10">
                  <c:v>39.403292181069958</c:v>
                </c:pt>
                <c:pt idx="11">
                  <c:v>21.084953940634591</c:v>
                </c:pt>
                <c:pt idx="12">
                  <c:v>28.144329896907223</c:v>
                </c:pt>
                <c:pt idx="13">
                  <c:v>28.790983606557376</c:v>
                </c:pt>
                <c:pt idx="14">
                  <c:v>32.686414708886616</c:v>
                </c:pt>
                <c:pt idx="15">
                  <c:v>40.247678018575854</c:v>
                </c:pt>
                <c:pt idx="16">
                  <c:v>48.090815273477816</c:v>
                </c:pt>
                <c:pt idx="17">
                  <c:v>52.34131113423517</c:v>
                </c:pt>
                <c:pt idx="18">
                  <c:v>59.669079627714581</c:v>
                </c:pt>
                <c:pt idx="19">
                  <c:v>61.633919338159252</c:v>
                </c:pt>
              </c:numCache>
            </c:numRef>
          </c:val>
          <c:smooth val="0"/>
        </c:ser>
        <c:ser>
          <c:idx val="1"/>
          <c:order val="1"/>
          <c:tx>
            <c:strRef>
              <c:f>ΠΑΡΑΓΓΕΛΙΕΣ!$A$5</c:f>
              <c:strCache>
                <c:ptCount val="1"/>
                <c:pt idx="0">
                  <c:v>ΠΡΟΒΛΕΨΗ (T+1)</c:v>
                </c:pt>
              </c:strCache>
            </c:strRef>
          </c:tx>
          <c:marker>
            <c:symbol val="none"/>
          </c:marker>
          <c:cat>
            <c:strRef>
              <c:f>ΠΑΡΑΓΓΕΛΙΕΣ!$B$3:$V$3</c:f>
              <c:strCache>
                <c:ptCount val="21"/>
                <c:pt idx="0">
                  <c:v>2009Β</c:v>
                </c:pt>
                <c:pt idx="1">
                  <c:v>2010Α</c:v>
                </c:pt>
                <c:pt idx="2">
                  <c:v>2010Β</c:v>
                </c:pt>
                <c:pt idx="3">
                  <c:v>2011Α</c:v>
                </c:pt>
                <c:pt idx="4">
                  <c:v>2011Β</c:v>
                </c:pt>
                <c:pt idx="5">
                  <c:v>2012Α</c:v>
                </c:pt>
                <c:pt idx="6">
                  <c:v>2012Β</c:v>
                </c:pt>
                <c:pt idx="7">
                  <c:v>2013Α</c:v>
                </c:pt>
                <c:pt idx="8">
                  <c:v>2013Β</c:v>
                </c:pt>
                <c:pt idx="9">
                  <c:v>2014Α</c:v>
                </c:pt>
                <c:pt idx="10">
                  <c:v>2014Β</c:v>
                </c:pt>
                <c:pt idx="11">
                  <c:v>2015Α</c:v>
                </c:pt>
                <c:pt idx="12">
                  <c:v>2015Β</c:v>
                </c:pt>
                <c:pt idx="13">
                  <c:v>2016Α</c:v>
                </c:pt>
                <c:pt idx="14">
                  <c:v>2016Β</c:v>
                </c:pt>
                <c:pt idx="15">
                  <c:v>2017Α</c:v>
                </c:pt>
                <c:pt idx="16">
                  <c:v>2017Β</c:v>
                </c:pt>
                <c:pt idx="17">
                  <c:v>2018Α</c:v>
                </c:pt>
                <c:pt idx="18">
                  <c:v>2018Β</c:v>
                </c:pt>
                <c:pt idx="19">
                  <c:v>2019Α</c:v>
                </c:pt>
                <c:pt idx="20">
                  <c:v>2019Β</c:v>
                </c:pt>
              </c:strCache>
            </c:strRef>
          </c:cat>
          <c:val>
            <c:numRef>
              <c:f>ΠΑΡΑΓΓΕΛΙΕΣ!$B$5:$V$5</c:f>
              <c:numCache>
                <c:formatCode>0.0</c:formatCode>
                <c:ptCount val="21"/>
                <c:pt idx="1">
                  <c:v>41.450216450216452</c:v>
                </c:pt>
                <c:pt idx="2">
                  <c:v>27.747551686615878</c:v>
                </c:pt>
                <c:pt idx="3">
                  <c:v>24.920466595970311</c:v>
                </c:pt>
                <c:pt idx="4">
                  <c:v>31.175836030204948</c:v>
                </c:pt>
                <c:pt idx="5">
                  <c:v>19.311064718162839</c:v>
                </c:pt>
                <c:pt idx="6">
                  <c:v>30.785791173304617</c:v>
                </c:pt>
                <c:pt idx="7">
                  <c:v>31.764705882352942</c:v>
                </c:pt>
                <c:pt idx="8">
                  <c:v>27.505330490405115</c:v>
                </c:pt>
                <c:pt idx="9">
                  <c:v>42.647058823529413</c:v>
                </c:pt>
                <c:pt idx="10">
                  <c:v>40.587595212187161</c:v>
                </c:pt>
                <c:pt idx="11">
                  <c:v>59.615384615384613</c:v>
                </c:pt>
                <c:pt idx="12">
                  <c:v>26.624068157614474</c:v>
                </c:pt>
                <c:pt idx="13">
                  <c:v>35.005452562704463</c:v>
                </c:pt>
                <c:pt idx="14">
                  <c:v>37.284482758620697</c:v>
                </c:pt>
                <c:pt idx="15">
                  <c:v>36.881720430107528</c:v>
                </c:pt>
                <c:pt idx="16">
                  <c:v>52.729257641921393</c:v>
                </c:pt>
                <c:pt idx="17">
                  <c:v>60.086299892125133</c:v>
                </c:pt>
                <c:pt idx="18">
                  <c:v>62.7062706270627</c:v>
                </c:pt>
                <c:pt idx="19">
                  <c:v>66.376496191512516</c:v>
                </c:pt>
                <c:pt idx="20">
                  <c:v>80.090497737556561</c:v>
                </c:pt>
              </c:numCache>
            </c:numRef>
          </c:val>
          <c:smooth val="0"/>
        </c:ser>
        <c:dLbls>
          <c:showLegendKey val="0"/>
          <c:showVal val="0"/>
          <c:showCatName val="0"/>
          <c:showSerName val="0"/>
          <c:showPercent val="0"/>
          <c:showBubbleSize val="0"/>
        </c:dLbls>
        <c:marker val="1"/>
        <c:smooth val="0"/>
        <c:axId val="349721728"/>
        <c:axId val="349723264"/>
      </c:lineChart>
      <c:catAx>
        <c:axId val="349721728"/>
        <c:scaling>
          <c:orientation val="minMax"/>
        </c:scaling>
        <c:delete val="0"/>
        <c:axPos val="b"/>
        <c:numFmt formatCode="General" sourceLinked="1"/>
        <c:majorTickMark val="none"/>
        <c:minorTickMark val="none"/>
        <c:tickLblPos val="low"/>
        <c:crossAx val="349723264"/>
        <c:crosses val="autoZero"/>
        <c:auto val="1"/>
        <c:lblAlgn val="ctr"/>
        <c:lblOffset val="100"/>
        <c:noMultiLvlLbl val="0"/>
      </c:catAx>
      <c:valAx>
        <c:axId val="349723264"/>
        <c:scaling>
          <c:orientation val="minMax"/>
        </c:scaling>
        <c:delete val="0"/>
        <c:axPos val="l"/>
        <c:majorGridlines/>
        <c:numFmt formatCode="0.0" sourceLinked="1"/>
        <c:majorTickMark val="none"/>
        <c:minorTickMark val="none"/>
        <c:tickLblPos val="nextTo"/>
        <c:crossAx val="349721728"/>
        <c:crosses val="autoZero"/>
        <c:crossBetween val="between"/>
      </c:valAx>
    </c:plotArea>
    <c:legend>
      <c:legendPos val="b"/>
      <c:overlay val="0"/>
    </c:legend>
    <c:plotVisOnly val="1"/>
    <c:dispBlanksAs val="gap"/>
    <c:showDLblsOverMax val="0"/>
  </c:chart>
  <c:externalData r:id="rId2">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l-GR"/>
              <a:t>Δείκτης</a:t>
            </a:r>
            <a:r>
              <a:rPr lang="el-GR" baseline="0"/>
              <a:t> Επενδυτικής Δραστηριότητας</a:t>
            </a:r>
            <a:endParaRPr lang="el-GR"/>
          </a:p>
        </c:rich>
      </c:tx>
      <c:overlay val="0"/>
    </c:title>
    <c:autoTitleDeleted val="0"/>
    <c:plotArea>
      <c:layout/>
      <c:lineChart>
        <c:grouping val="standard"/>
        <c:varyColors val="0"/>
        <c:ser>
          <c:idx val="0"/>
          <c:order val="0"/>
          <c:tx>
            <c:strRef>
              <c:f>ΕΠΕΝΔΥΣΕΙΣ!$A$30</c:f>
              <c:strCache>
                <c:ptCount val="1"/>
                <c:pt idx="0">
                  <c:v>ΑΠΟΤΙΜΗΣΗ</c:v>
                </c:pt>
              </c:strCache>
            </c:strRef>
          </c:tx>
          <c:marker>
            <c:symbol val="none"/>
          </c:marker>
          <c:cat>
            <c:strRef>
              <c:f>ΕΠΕΝΔΥΣΕΙΣ!$B$29:$V$29</c:f>
              <c:strCache>
                <c:ptCount val="21"/>
                <c:pt idx="0">
                  <c:v>2009Β</c:v>
                </c:pt>
                <c:pt idx="1">
                  <c:v>2010Α</c:v>
                </c:pt>
                <c:pt idx="2">
                  <c:v>2010Β</c:v>
                </c:pt>
                <c:pt idx="3">
                  <c:v>2011Α</c:v>
                </c:pt>
                <c:pt idx="4">
                  <c:v>2011Β</c:v>
                </c:pt>
                <c:pt idx="5">
                  <c:v>2012Α</c:v>
                </c:pt>
                <c:pt idx="6">
                  <c:v>2012Β</c:v>
                </c:pt>
                <c:pt idx="7">
                  <c:v>2013Α</c:v>
                </c:pt>
                <c:pt idx="8">
                  <c:v>2013Β</c:v>
                </c:pt>
                <c:pt idx="9">
                  <c:v>2014Α</c:v>
                </c:pt>
                <c:pt idx="10">
                  <c:v>2014Β</c:v>
                </c:pt>
                <c:pt idx="11">
                  <c:v>2015Α</c:v>
                </c:pt>
                <c:pt idx="12">
                  <c:v>2015Β</c:v>
                </c:pt>
                <c:pt idx="13">
                  <c:v>2016Α</c:v>
                </c:pt>
                <c:pt idx="14">
                  <c:v>2016Β</c:v>
                </c:pt>
                <c:pt idx="15">
                  <c:v>2017Α</c:v>
                </c:pt>
                <c:pt idx="16">
                  <c:v>2017Β</c:v>
                </c:pt>
                <c:pt idx="17">
                  <c:v>2018Α</c:v>
                </c:pt>
                <c:pt idx="18">
                  <c:v>2018Β</c:v>
                </c:pt>
                <c:pt idx="19">
                  <c:v>2019Α</c:v>
                </c:pt>
                <c:pt idx="20">
                  <c:v>2019Β</c:v>
                </c:pt>
              </c:strCache>
            </c:strRef>
          </c:cat>
          <c:val>
            <c:numRef>
              <c:f>ΕΠΕΝΔΥΣΕΙΣ!$B$30:$V$30</c:f>
              <c:numCache>
                <c:formatCode>0.0</c:formatCode>
                <c:ptCount val="21"/>
                <c:pt idx="0">
                  <c:v>5.3203040173724077</c:v>
                </c:pt>
                <c:pt idx="1">
                  <c:v>3.9784946236559193</c:v>
                </c:pt>
                <c:pt idx="2">
                  <c:v>4.2937853107344637</c:v>
                </c:pt>
                <c:pt idx="3">
                  <c:v>4.7227926078028801</c:v>
                </c:pt>
                <c:pt idx="4">
                  <c:v>5.9365404298874012</c:v>
                </c:pt>
                <c:pt idx="5">
                  <c:v>7.1207430340557352</c:v>
                </c:pt>
                <c:pt idx="6">
                  <c:v>5.9498956158663958</c:v>
                </c:pt>
                <c:pt idx="7">
                  <c:v>7.1207430340557352</c:v>
                </c:pt>
                <c:pt idx="8">
                  <c:v>6.5331928345626977</c:v>
                </c:pt>
                <c:pt idx="9">
                  <c:v>8.904810644831116</c:v>
                </c:pt>
                <c:pt idx="10">
                  <c:v>12.591050988553583</c:v>
                </c:pt>
                <c:pt idx="11">
                  <c:v>5.0359712230215763</c:v>
                </c:pt>
                <c:pt idx="12">
                  <c:v>7.3196986006458644</c:v>
                </c:pt>
                <c:pt idx="13">
                  <c:v>9.2951991828396388</c:v>
                </c:pt>
                <c:pt idx="14">
                  <c:v>8.2352941176470509</c:v>
                </c:pt>
                <c:pt idx="15">
                  <c:v>8.2661290322580641</c:v>
                </c:pt>
                <c:pt idx="16">
                  <c:v>11.3613101330604</c:v>
                </c:pt>
                <c:pt idx="17">
                  <c:v>15.345528455284551</c:v>
                </c:pt>
                <c:pt idx="18">
                  <c:v>13.065326633165824</c:v>
                </c:pt>
                <c:pt idx="19">
                  <c:v>15.329218106995867</c:v>
                </c:pt>
              </c:numCache>
            </c:numRef>
          </c:val>
          <c:smooth val="0"/>
        </c:ser>
        <c:ser>
          <c:idx val="1"/>
          <c:order val="1"/>
          <c:tx>
            <c:strRef>
              <c:f>ΕΠΕΝΔΥΣΕΙΣ!$A$31</c:f>
              <c:strCache>
                <c:ptCount val="1"/>
                <c:pt idx="0">
                  <c:v>ΠΡΟΒΛΕΨΗ (T+1)</c:v>
                </c:pt>
              </c:strCache>
            </c:strRef>
          </c:tx>
          <c:marker>
            <c:symbol val="none"/>
          </c:marker>
          <c:cat>
            <c:strRef>
              <c:f>ΕΠΕΝΔΥΣΕΙΣ!$B$29:$V$29</c:f>
              <c:strCache>
                <c:ptCount val="21"/>
                <c:pt idx="0">
                  <c:v>2009Β</c:v>
                </c:pt>
                <c:pt idx="1">
                  <c:v>2010Α</c:v>
                </c:pt>
                <c:pt idx="2">
                  <c:v>2010Β</c:v>
                </c:pt>
                <c:pt idx="3">
                  <c:v>2011Α</c:v>
                </c:pt>
                <c:pt idx="4">
                  <c:v>2011Β</c:v>
                </c:pt>
                <c:pt idx="5">
                  <c:v>2012Α</c:v>
                </c:pt>
                <c:pt idx="6">
                  <c:v>2012Β</c:v>
                </c:pt>
                <c:pt idx="7">
                  <c:v>2013Α</c:v>
                </c:pt>
                <c:pt idx="8">
                  <c:v>2013Β</c:v>
                </c:pt>
                <c:pt idx="9">
                  <c:v>2014Α</c:v>
                </c:pt>
                <c:pt idx="10">
                  <c:v>2014Β</c:v>
                </c:pt>
                <c:pt idx="11">
                  <c:v>2015Α</c:v>
                </c:pt>
                <c:pt idx="12">
                  <c:v>2015Β</c:v>
                </c:pt>
                <c:pt idx="13">
                  <c:v>2016Α</c:v>
                </c:pt>
                <c:pt idx="14">
                  <c:v>2016Β</c:v>
                </c:pt>
                <c:pt idx="15">
                  <c:v>2017Α</c:v>
                </c:pt>
                <c:pt idx="16">
                  <c:v>2017Β</c:v>
                </c:pt>
                <c:pt idx="17">
                  <c:v>2018Α</c:v>
                </c:pt>
                <c:pt idx="18">
                  <c:v>2018Β</c:v>
                </c:pt>
                <c:pt idx="19">
                  <c:v>2019Α</c:v>
                </c:pt>
                <c:pt idx="20">
                  <c:v>2019Β</c:v>
                </c:pt>
              </c:strCache>
            </c:strRef>
          </c:cat>
          <c:val>
            <c:numRef>
              <c:f>ΕΠΕΝΔΥΣΕΙΣ!$B$31:$V$31</c:f>
              <c:numCache>
                <c:formatCode>0.0</c:formatCode>
                <c:ptCount val="21"/>
                <c:pt idx="1">
                  <c:v>8.9086859688196114</c:v>
                </c:pt>
                <c:pt idx="2">
                  <c:v>7.2810011376564319</c:v>
                </c:pt>
                <c:pt idx="3">
                  <c:v>3.8283062645011583</c:v>
                </c:pt>
                <c:pt idx="4">
                  <c:v>4.9197860962566793</c:v>
                </c:pt>
                <c:pt idx="5">
                  <c:v>2.9350104821802958</c:v>
                </c:pt>
                <c:pt idx="6">
                  <c:v>5.4197662061636507</c:v>
                </c:pt>
                <c:pt idx="7">
                  <c:v>5.9652928416485977</c:v>
                </c:pt>
                <c:pt idx="8">
                  <c:v>4.5793397231096975</c:v>
                </c:pt>
                <c:pt idx="9">
                  <c:v>9.5440084835630898</c:v>
                </c:pt>
                <c:pt idx="10">
                  <c:v>8.0385852090032159</c:v>
                </c:pt>
                <c:pt idx="11">
                  <c:v>15.154994259471863</c:v>
                </c:pt>
                <c:pt idx="12">
                  <c:v>2.7777777777777715</c:v>
                </c:pt>
                <c:pt idx="13">
                  <c:v>3.8374717832957046</c:v>
                </c:pt>
                <c:pt idx="14">
                  <c:v>2.1966527196652947</c:v>
                </c:pt>
                <c:pt idx="15">
                  <c:v>3.9691289966924046</c:v>
                </c:pt>
                <c:pt idx="16">
                  <c:v>4.4025157232704402</c:v>
                </c:pt>
                <c:pt idx="17">
                  <c:v>6.9915254237288167</c:v>
                </c:pt>
                <c:pt idx="18">
                  <c:v>11.004273504273499</c:v>
                </c:pt>
                <c:pt idx="19">
                  <c:v>8.829568788501021</c:v>
                </c:pt>
                <c:pt idx="20">
                  <c:v>17.303370786516865</c:v>
                </c:pt>
              </c:numCache>
            </c:numRef>
          </c:val>
          <c:smooth val="0"/>
        </c:ser>
        <c:dLbls>
          <c:showLegendKey val="0"/>
          <c:showVal val="0"/>
          <c:showCatName val="0"/>
          <c:showSerName val="0"/>
          <c:showPercent val="0"/>
          <c:showBubbleSize val="0"/>
        </c:dLbls>
        <c:marker val="1"/>
        <c:smooth val="0"/>
        <c:axId val="350068096"/>
        <c:axId val="350069888"/>
      </c:lineChart>
      <c:catAx>
        <c:axId val="350068096"/>
        <c:scaling>
          <c:orientation val="minMax"/>
        </c:scaling>
        <c:delete val="0"/>
        <c:axPos val="b"/>
        <c:majorTickMark val="none"/>
        <c:minorTickMark val="none"/>
        <c:tickLblPos val="low"/>
        <c:crossAx val="350069888"/>
        <c:crosses val="autoZero"/>
        <c:auto val="1"/>
        <c:lblAlgn val="ctr"/>
        <c:lblOffset val="100"/>
        <c:noMultiLvlLbl val="0"/>
      </c:catAx>
      <c:valAx>
        <c:axId val="350069888"/>
        <c:scaling>
          <c:orientation val="minMax"/>
        </c:scaling>
        <c:delete val="0"/>
        <c:axPos val="l"/>
        <c:majorGridlines/>
        <c:numFmt formatCode="0.0" sourceLinked="1"/>
        <c:majorTickMark val="none"/>
        <c:minorTickMark val="none"/>
        <c:tickLblPos val="nextTo"/>
        <c:crossAx val="350068096"/>
        <c:crosses val="autoZero"/>
        <c:crossBetween val="between"/>
      </c:valAx>
    </c:plotArea>
    <c:legend>
      <c:legendPos val="b"/>
      <c:overlay val="0"/>
    </c:legend>
    <c:plotVisOnly val="1"/>
    <c:dispBlanksAs val="gap"/>
    <c:showDLblsOverMax val="0"/>
  </c:chart>
  <c:externalData r:id="rId2">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l-GR"/>
              <a:t>Δείκτης Απασχόλησης</a:t>
            </a:r>
            <a:endParaRPr lang="en-US"/>
          </a:p>
        </c:rich>
      </c:tx>
      <c:overlay val="0"/>
    </c:title>
    <c:autoTitleDeleted val="0"/>
    <c:plotArea>
      <c:layout/>
      <c:lineChart>
        <c:grouping val="standard"/>
        <c:varyColors val="0"/>
        <c:ser>
          <c:idx val="0"/>
          <c:order val="0"/>
          <c:tx>
            <c:strRef>
              <c:f>'ΑΠΑΣΧΟΛΗΣΗ ΔΕΙΚΤΗΣ'!$A$4</c:f>
              <c:strCache>
                <c:ptCount val="1"/>
                <c:pt idx="0">
                  <c:v>ΑΠΟΤΙΜΗΣΗ</c:v>
                </c:pt>
              </c:strCache>
            </c:strRef>
          </c:tx>
          <c:marker>
            <c:symbol val="none"/>
          </c:marker>
          <c:cat>
            <c:strRef>
              <c:f>'ΑΠΑΣΧΟΛΗΣΗ ΔΕΙΚΤΗΣ'!$B$3:$W$3</c:f>
              <c:strCache>
                <c:ptCount val="22"/>
                <c:pt idx="0">
                  <c:v>2009Α</c:v>
                </c:pt>
                <c:pt idx="1">
                  <c:v>2009Β</c:v>
                </c:pt>
                <c:pt idx="2">
                  <c:v>2010Α</c:v>
                </c:pt>
                <c:pt idx="3">
                  <c:v>2010Β</c:v>
                </c:pt>
                <c:pt idx="4">
                  <c:v>2011Α</c:v>
                </c:pt>
                <c:pt idx="5">
                  <c:v>2011Β</c:v>
                </c:pt>
                <c:pt idx="6">
                  <c:v>2012Α</c:v>
                </c:pt>
                <c:pt idx="7">
                  <c:v>2012Β</c:v>
                </c:pt>
                <c:pt idx="8">
                  <c:v>2013Α</c:v>
                </c:pt>
                <c:pt idx="9">
                  <c:v>2013Β</c:v>
                </c:pt>
                <c:pt idx="10">
                  <c:v>2014Α</c:v>
                </c:pt>
                <c:pt idx="11">
                  <c:v>2014Β</c:v>
                </c:pt>
                <c:pt idx="12">
                  <c:v>2015Α</c:v>
                </c:pt>
                <c:pt idx="13">
                  <c:v>2015Β</c:v>
                </c:pt>
                <c:pt idx="14">
                  <c:v>2016Α</c:v>
                </c:pt>
                <c:pt idx="15">
                  <c:v>2016Β</c:v>
                </c:pt>
                <c:pt idx="16">
                  <c:v>2017Α</c:v>
                </c:pt>
                <c:pt idx="17">
                  <c:v>2017Β</c:v>
                </c:pt>
                <c:pt idx="18">
                  <c:v>2018Α</c:v>
                </c:pt>
                <c:pt idx="19">
                  <c:v>2018Β</c:v>
                </c:pt>
                <c:pt idx="20">
                  <c:v>2019Α</c:v>
                </c:pt>
                <c:pt idx="21">
                  <c:v>2019Β</c:v>
                </c:pt>
              </c:strCache>
            </c:strRef>
          </c:cat>
          <c:val>
            <c:numRef>
              <c:f>'ΑΠΑΣΧΟΛΗΣΗ ΔΕΙΚΤΗΣ'!$B$4:$W$4</c:f>
              <c:numCache>
                <c:formatCode>0.0</c:formatCode>
                <c:ptCount val="22"/>
                <c:pt idx="0">
                  <c:v>84.471731931535984</c:v>
                </c:pt>
                <c:pt idx="1">
                  <c:v>80.773143438453715</c:v>
                </c:pt>
                <c:pt idx="2">
                  <c:v>81.458966565349542</c:v>
                </c:pt>
                <c:pt idx="3">
                  <c:v>79.001019367991844</c:v>
                </c:pt>
                <c:pt idx="4">
                  <c:v>82.364933741080534</c:v>
                </c:pt>
                <c:pt idx="5">
                  <c:v>82.733812949640281</c:v>
                </c:pt>
                <c:pt idx="6">
                  <c:v>84.102564102564102</c:v>
                </c:pt>
                <c:pt idx="7">
                  <c:v>86.445783132530124</c:v>
                </c:pt>
                <c:pt idx="8">
                  <c:v>91.460905349794245</c:v>
                </c:pt>
                <c:pt idx="9">
                  <c:v>92.377131394182541</c:v>
                </c:pt>
                <c:pt idx="10">
                  <c:v>96.896896896896891</c:v>
                </c:pt>
                <c:pt idx="11">
                  <c:v>95.555555555555557</c:v>
                </c:pt>
                <c:pt idx="12">
                  <c:v>93.699186991869922</c:v>
                </c:pt>
                <c:pt idx="13">
                  <c:v>93.380140421263789</c:v>
                </c:pt>
                <c:pt idx="14">
                  <c:v>98.798798798798799</c:v>
                </c:pt>
                <c:pt idx="15">
                  <c:v>95.262615859938208</c:v>
                </c:pt>
                <c:pt idx="16">
                  <c:v>100</c:v>
                </c:pt>
                <c:pt idx="17">
                  <c:v>97.494989979959925</c:v>
                </c:pt>
                <c:pt idx="18">
                  <c:v>104.72361809045226</c:v>
                </c:pt>
                <c:pt idx="19">
                  <c:v>98.795180722891573</c:v>
                </c:pt>
                <c:pt idx="20">
                  <c:v>104.1289023162135</c:v>
                </c:pt>
              </c:numCache>
            </c:numRef>
          </c:val>
          <c:smooth val="0"/>
        </c:ser>
        <c:ser>
          <c:idx val="1"/>
          <c:order val="1"/>
          <c:tx>
            <c:strRef>
              <c:f>'ΑΠΑΣΧΟΛΗΣΗ ΔΕΙΚΤΗΣ'!$A$5</c:f>
              <c:strCache>
                <c:ptCount val="1"/>
                <c:pt idx="0">
                  <c:v>ΠΡΟΒΛΕΨΗ (T+1)</c:v>
                </c:pt>
              </c:strCache>
            </c:strRef>
          </c:tx>
          <c:marker>
            <c:symbol val="none"/>
          </c:marker>
          <c:cat>
            <c:strRef>
              <c:f>'ΑΠΑΣΧΟΛΗΣΗ ΔΕΙΚΤΗΣ'!$B$3:$W$3</c:f>
              <c:strCache>
                <c:ptCount val="22"/>
                <c:pt idx="0">
                  <c:v>2009Α</c:v>
                </c:pt>
                <c:pt idx="1">
                  <c:v>2009Β</c:v>
                </c:pt>
                <c:pt idx="2">
                  <c:v>2010Α</c:v>
                </c:pt>
                <c:pt idx="3">
                  <c:v>2010Β</c:v>
                </c:pt>
                <c:pt idx="4">
                  <c:v>2011Α</c:v>
                </c:pt>
                <c:pt idx="5">
                  <c:v>2011Β</c:v>
                </c:pt>
                <c:pt idx="6">
                  <c:v>2012Α</c:v>
                </c:pt>
                <c:pt idx="7">
                  <c:v>2012Β</c:v>
                </c:pt>
                <c:pt idx="8">
                  <c:v>2013Α</c:v>
                </c:pt>
                <c:pt idx="9">
                  <c:v>2013Β</c:v>
                </c:pt>
                <c:pt idx="10">
                  <c:v>2014Α</c:v>
                </c:pt>
                <c:pt idx="11">
                  <c:v>2014Β</c:v>
                </c:pt>
                <c:pt idx="12">
                  <c:v>2015Α</c:v>
                </c:pt>
                <c:pt idx="13">
                  <c:v>2015Β</c:v>
                </c:pt>
                <c:pt idx="14">
                  <c:v>2016Α</c:v>
                </c:pt>
                <c:pt idx="15">
                  <c:v>2016Β</c:v>
                </c:pt>
                <c:pt idx="16">
                  <c:v>2017Α</c:v>
                </c:pt>
                <c:pt idx="17">
                  <c:v>2017Β</c:v>
                </c:pt>
                <c:pt idx="18">
                  <c:v>2018Α</c:v>
                </c:pt>
                <c:pt idx="19">
                  <c:v>2018Β</c:v>
                </c:pt>
                <c:pt idx="20">
                  <c:v>2019Α</c:v>
                </c:pt>
                <c:pt idx="21">
                  <c:v>2019Β</c:v>
                </c:pt>
              </c:strCache>
            </c:strRef>
          </c:cat>
          <c:val>
            <c:numRef>
              <c:f>'ΑΠΑΣΧΟΛΗΣΗ ΔΕΙΚΤΗΣ'!$B$5:$W$5</c:f>
              <c:numCache>
                <c:formatCode>0.0</c:formatCode>
                <c:ptCount val="22"/>
                <c:pt idx="1">
                  <c:v>81.233933161953729</c:v>
                </c:pt>
                <c:pt idx="2">
                  <c:v>88.762886597938149</c:v>
                </c:pt>
                <c:pt idx="3">
                  <c:v>78.215527230590965</c:v>
                </c:pt>
                <c:pt idx="4">
                  <c:v>85.130890052356023</c:v>
                </c:pt>
                <c:pt idx="5">
                  <c:v>84.607329842931932</c:v>
                </c:pt>
                <c:pt idx="6">
                  <c:v>83.07692307692308</c:v>
                </c:pt>
                <c:pt idx="7">
                  <c:v>88.735387885228477</c:v>
                </c:pt>
                <c:pt idx="8">
                  <c:v>90.417940876656473</c:v>
                </c:pt>
                <c:pt idx="9">
                  <c:v>85.412262156448207</c:v>
                </c:pt>
                <c:pt idx="10">
                  <c:v>95.07692307692308</c:v>
                </c:pt>
                <c:pt idx="11">
                  <c:v>92.520491803278688</c:v>
                </c:pt>
                <c:pt idx="12">
                  <c:v>100.51706308169597</c:v>
                </c:pt>
                <c:pt idx="13">
                  <c:v>83.66492146596859</c:v>
                </c:pt>
                <c:pt idx="14">
                  <c:v>95.611285266457685</c:v>
                </c:pt>
                <c:pt idx="15">
                  <c:v>92.930327868852459</c:v>
                </c:pt>
                <c:pt idx="16">
                  <c:v>97.542735042735046</c:v>
                </c:pt>
                <c:pt idx="17">
                  <c:v>95.910020449897758</c:v>
                </c:pt>
                <c:pt idx="18">
                  <c:v>102.15163934426229</c:v>
                </c:pt>
                <c:pt idx="19">
                  <c:v>97.515527950310556</c:v>
                </c:pt>
                <c:pt idx="20">
                  <c:v>103.94337714863498</c:v>
                </c:pt>
                <c:pt idx="21">
                  <c:v>100.20533880903491</c:v>
                </c:pt>
              </c:numCache>
            </c:numRef>
          </c:val>
          <c:smooth val="0"/>
        </c:ser>
        <c:dLbls>
          <c:showLegendKey val="0"/>
          <c:showVal val="0"/>
          <c:showCatName val="0"/>
          <c:showSerName val="0"/>
          <c:showPercent val="0"/>
          <c:showBubbleSize val="0"/>
        </c:dLbls>
        <c:marker val="1"/>
        <c:smooth val="0"/>
        <c:axId val="349788032"/>
        <c:axId val="349789568"/>
      </c:lineChart>
      <c:catAx>
        <c:axId val="349788032"/>
        <c:scaling>
          <c:orientation val="minMax"/>
        </c:scaling>
        <c:delete val="0"/>
        <c:axPos val="b"/>
        <c:majorTickMark val="out"/>
        <c:minorTickMark val="none"/>
        <c:tickLblPos val="nextTo"/>
        <c:crossAx val="349789568"/>
        <c:crosses val="autoZero"/>
        <c:auto val="1"/>
        <c:lblAlgn val="ctr"/>
        <c:lblOffset val="100"/>
        <c:noMultiLvlLbl val="0"/>
      </c:catAx>
      <c:valAx>
        <c:axId val="349789568"/>
        <c:scaling>
          <c:orientation val="minMax"/>
          <c:min val="70"/>
        </c:scaling>
        <c:delete val="0"/>
        <c:axPos val="l"/>
        <c:majorGridlines/>
        <c:numFmt formatCode="0.0" sourceLinked="1"/>
        <c:majorTickMark val="out"/>
        <c:minorTickMark val="none"/>
        <c:tickLblPos val="nextTo"/>
        <c:crossAx val="349788032"/>
        <c:crosses val="autoZero"/>
        <c:crossBetween val="between"/>
        <c:majorUnit val="5"/>
        <c:minorUnit val="5"/>
      </c:valAx>
    </c:plotArea>
    <c:legend>
      <c:legendPos val="b"/>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200" b="1" i="0" u="none" strike="noStrike" baseline="0">
                <a:effectLst/>
              </a:rPr>
              <a:t>O</a:t>
            </a:r>
            <a:r>
              <a:rPr lang="el-GR" sz="1200" b="1" i="0" u="none" strike="noStrike" baseline="0">
                <a:effectLst/>
              </a:rPr>
              <a:t> ετήσιος τζίρος της επιχείρησής σας το 2018 ήταν συνολικά:</a:t>
            </a:r>
            <a:endParaRPr lang="el-GR" sz="1200"/>
          </a:p>
        </c:rich>
      </c:tx>
      <c:overlay val="0"/>
    </c:title>
    <c:autoTitleDeleted val="0"/>
    <c:plotArea>
      <c:layout/>
      <c:barChart>
        <c:barDir val="bar"/>
        <c:grouping val="clustered"/>
        <c:varyColors val="0"/>
        <c:ser>
          <c:idx val="0"/>
          <c:order val="0"/>
          <c:tx>
            <c:strRef>
              <c:f>Φύλλο1!$B$1</c:f>
              <c:strCache>
                <c:ptCount val="1"/>
                <c:pt idx="0">
                  <c:v>Σειρά 1</c:v>
                </c:pt>
              </c:strCache>
            </c:strRef>
          </c:tx>
          <c:spPr>
            <a:solidFill>
              <a:schemeClr val="accent1">
                <a:lumMod val="75000"/>
              </a:schemeClr>
            </a:solidFill>
          </c:spPr>
          <c:invertIfNegative val="0"/>
          <c:dPt>
            <c:idx val="0"/>
            <c:invertIfNegative val="0"/>
            <c:bubble3D val="0"/>
            <c:spPr>
              <a:solidFill>
                <a:schemeClr val="bg1">
                  <a:lumMod val="50000"/>
                </a:schemeClr>
              </a:solidFill>
            </c:spPr>
            <c:extLst xmlns:c16r2="http://schemas.microsoft.com/office/drawing/2015/06/chart">
              <c:ext xmlns:c16="http://schemas.microsoft.com/office/drawing/2014/chart" uri="{C3380CC4-5D6E-409C-BE32-E72D297353CC}">
                <c16:uniqueId val="{00000001-0F54-49AC-9BF3-8DED32FACE0C}"/>
              </c:ext>
            </c:extLst>
          </c:dPt>
          <c:dLbls>
            <c:dLbl>
              <c:idx val="4"/>
              <c:spPr/>
              <c:txPr>
                <a:bodyPr/>
                <a:lstStyle/>
                <a:p>
                  <a:pPr algn="ctr">
                    <a:defRPr lang="el-GR" sz="1200" b="0" i="0" u="none" strike="noStrike" kern="1200" baseline="0">
                      <a:solidFill>
                        <a:prstClr val="black"/>
                      </a:solidFill>
                      <a:latin typeface="Calibri" panose="020F0502020204030204" pitchFamily="34" charset="0"/>
                      <a:ea typeface="+mn-ea"/>
                      <a:cs typeface="+mn-cs"/>
                    </a:defRPr>
                  </a:pPr>
                  <a:endParaRPr lang="el-GR"/>
                </a:p>
              </c:txPr>
              <c:showLegendKey val="0"/>
              <c:showVal val="1"/>
              <c:showCatName val="0"/>
              <c:showSerName val="0"/>
              <c:showPercent val="0"/>
              <c:showBubbleSize val="0"/>
            </c:dLbl>
            <c:dLbl>
              <c:idx val="5"/>
              <c:spPr/>
              <c:txPr>
                <a:bodyPr/>
                <a:lstStyle/>
                <a:p>
                  <a:pPr algn="ctr">
                    <a:defRPr lang="el-GR" sz="1200" b="0" i="0" u="none" strike="noStrike" kern="1200" baseline="0">
                      <a:solidFill>
                        <a:prstClr val="black"/>
                      </a:solidFill>
                      <a:latin typeface="Calibri" panose="020F0502020204030204" pitchFamily="34" charset="0"/>
                      <a:ea typeface="+mn-ea"/>
                      <a:cs typeface="+mn-cs"/>
                    </a:defRPr>
                  </a:pPr>
                  <a:endParaRPr lang="el-GR"/>
                </a:p>
              </c:txPr>
              <c:showLegendKey val="0"/>
              <c:showVal val="1"/>
              <c:showCatName val="0"/>
              <c:showSerName val="0"/>
              <c:showPercent val="0"/>
              <c:showBubbleSize val="0"/>
            </c:dLbl>
            <c:spPr>
              <a:noFill/>
              <a:ln>
                <a:noFill/>
              </a:ln>
              <a:effectLst/>
            </c:spPr>
            <c:txPr>
              <a:bodyPr/>
              <a:lstStyle/>
              <a:p>
                <a:pPr>
                  <a:defRPr sz="1200">
                    <a:latin typeface="Calibri" panose="020F0502020204030204" pitchFamily="34" charset="0"/>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Φύλλο1!$A$2:$A$8</c:f>
              <c:strCache>
                <c:ptCount val="7"/>
                <c:pt idx="0">
                  <c:v>Δ Α</c:v>
                </c:pt>
                <c:pt idx="1">
                  <c:v>Πάνω από 1 εκατομμύριο</c:v>
                </c:pt>
                <c:pt idx="2">
                  <c:v>500 -1 εκατ</c:v>
                </c:pt>
                <c:pt idx="3">
                  <c:v>300-500 χιλιάδες</c:v>
                </c:pt>
                <c:pt idx="4">
                  <c:v>100-300 χιλιάδες</c:v>
                </c:pt>
                <c:pt idx="5">
                  <c:v>50 έως 100 χιλιάδες</c:v>
                </c:pt>
                <c:pt idx="6">
                  <c:v>Κάτω από 50.000</c:v>
                </c:pt>
              </c:strCache>
            </c:strRef>
          </c:cat>
          <c:val>
            <c:numRef>
              <c:f>Φύλλο1!$B$2:$B$8</c:f>
              <c:numCache>
                <c:formatCode>0.0</c:formatCode>
                <c:ptCount val="7"/>
                <c:pt idx="0">
                  <c:v>6.6</c:v>
                </c:pt>
                <c:pt idx="1">
                  <c:v>7.3</c:v>
                </c:pt>
                <c:pt idx="2">
                  <c:v>3.7</c:v>
                </c:pt>
                <c:pt idx="3">
                  <c:v>7.2</c:v>
                </c:pt>
                <c:pt idx="4">
                  <c:v>18.399999999999999</c:v>
                </c:pt>
                <c:pt idx="5">
                  <c:v>17.7</c:v>
                </c:pt>
                <c:pt idx="6">
                  <c:v>39.1</c:v>
                </c:pt>
              </c:numCache>
            </c:numRef>
          </c:val>
          <c:extLst xmlns:c16r2="http://schemas.microsoft.com/office/drawing/2015/06/chart">
            <c:ext xmlns:c16="http://schemas.microsoft.com/office/drawing/2014/chart" uri="{C3380CC4-5D6E-409C-BE32-E72D297353CC}">
              <c16:uniqueId val="{00000004-0F54-49AC-9BF3-8DED32FACE0C}"/>
            </c:ext>
          </c:extLst>
        </c:ser>
        <c:dLbls>
          <c:showLegendKey val="0"/>
          <c:showVal val="0"/>
          <c:showCatName val="0"/>
          <c:showSerName val="0"/>
          <c:showPercent val="0"/>
          <c:showBubbleSize val="0"/>
        </c:dLbls>
        <c:gapWidth val="72"/>
        <c:axId val="347163648"/>
        <c:axId val="347165440"/>
      </c:barChart>
      <c:catAx>
        <c:axId val="347163648"/>
        <c:scaling>
          <c:orientation val="minMax"/>
        </c:scaling>
        <c:delete val="0"/>
        <c:axPos val="l"/>
        <c:numFmt formatCode="General" sourceLinked="0"/>
        <c:majorTickMark val="out"/>
        <c:minorTickMark val="none"/>
        <c:tickLblPos val="nextTo"/>
        <c:txPr>
          <a:bodyPr/>
          <a:lstStyle/>
          <a:p>
            <a:pPr>
              <a:defRPr sz="1200">
                <a:latin typeface="Calibri" panose="020F0502020204030204" pitchFamily="34" charset="0"/>
              </a:defRPr>
            </a:pPr>
            <a:endParaRPr lang="el-GR"/>
          </a:p>
        </c:txPr>
        <c:crossAx val="347165440"/>
        <c:crosses val="autoZero"/>
        <c:auto val="1"/>
        <c:lblAlgn val="ctr"/>
        <c:lblOffset val="100"/>
        <c:noMultiLvlLbl val="0"/>
      </c:catAx>
      <c:valAx>
        <c:axId val="347165440"/>
        <c:scaling>
          <c:orientation val="minMax"/>
          <c:max val="50"/>
        </c:scaling>
        <c:delete val="0"/>
        <c:axPos val="b"/>
        <c:majorGridlines/>
        <c:numFmt formatCode="0.0" sourceLinked="1"/>
        <c:majorTickMark val="out"/>
        <c:minorTickMark val="none"/>
        <c:tickLblPos val="nextTo"/>
        <c:txPr>
          <a:bodyPr/>
          <a:lstStyle/>
          <a:p>
            <a:pPr>
              <a:defRPr sz="900">
                <a:latin typeface="Calibri" panose="020F0502020204030204" pitchFamily="34" charset="0"/>
              </a:defRPr>
            </a:pPr>
            <a:endParaRPr lang="el-GR"/>
          </a:p>
        </c:txPr>
        <c:crossAx val="347163648"/>
        <c:crosses val="autoZero"/>
        <c:crossBetween val="between"/>
      </c:valAx>
    </c:plotArea>
    <c:plotVisOnly val="1"/>
    <c:dispBlanksAs val="gap"/>
    <c:showDLblsOverMax val="0"/>
  </c:chart>
  <c:txPr>
    <a:bodyPr/>
    <a:lstStyle/>
    <a:p>
      <a:pPr>
        <a:defRPr sz="1800"/>
      </a:pPr>
      <a:endParaRPr lang="el-GR"/>
    </a:p>
  </c:txPr>
  <c:externalData r:id="rId2">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l-GR"/>
              <a:t>Δείκτης Τιμών Αγαθών/Υπηρεσιών</a:t>
            </a:r>
          </a:p>
        </c:rich>
      </c:tx>
      <c:overlay val="0"/>
    </c:title>
    <c:autoTitleDeleted val="0"/>
    <c:plotArea>
      <c:layout/>
      <c:lineChart>
        <c:grouping val="standard"/>
        <c:varyColors val="0"/>
        <c:ser>
          <c:idx val="1"/>
          <c:order val="0"/>
          <c:tx>
            <c:strRef>
              <c:f>'ΤΙΜΕΣ ΑΓΑΘΩΝ'!$A$23</c:f>
              <c:strCache>
                <c:ptCount val="1"/>
                <c:pt idx="0">
                  <c:v>ΑΠΟΤΙΜΗΣΗ</c:v>
                </c:pt>
              </c:strCache>
            </c:strRef>
          </c:tx>
          <c:spPr>
            <a:ln>
              <a:solidFill>
                <a:schemeClr val="accent1"/>
              </a:solidFill>
            </a:ln>
          </c:spPr>
          <c:marker>
            <c:symbol val="none"/>
          </c:marker>
          <c:cat>
            <c:strRef>
              <c:f>'ΤΙΜΕΣ ΑΓΑΘΩΝ'!$B$22:$J$22</c:f>
              <c:strCache>
                <c:ptCount val="9"/>
                <c:pt idx="0">
                  <c:v>2015Α</c:v>
                </c:pt>
                <c:pt idx="1">
                  <c:v>2015Β</c:v>
                </c:pt>
                <c:pt idx="2">
                  <c:v>2016Α</c:v>
                </c:pt>
                <c:pt idx="3">
                  <c:v>2016Β</c:v>
                </c:pt>
                <c:pt idx="4">
                  <c:v>2017Α</c:v>
                </c:pt>
                <c:pt idx="5">
                  <c:v>2017Β</c:v>
                </c:pt>
                <c:pt idx="6">
                  <c:v>2018Α</c:v>
                </c:pt>
                <c:pt idx="7">
                  <c:v>2018Β</c:v>
                </c:pt>
                <c:pt idx="8">
                  <c:v>2019Α</c:v>
                </c:pt>
              </c:strCache>
            </c:strRef>
          </c:cat>
          <c:val>
            <c:numRef>
              <c:f>'ΤΙΜΕΣ ΑΓΑΘΩΝ'!$B$23:$I$23</c:f>
              <c:numCache>
                <c:formatCode>0.0</c:formatCode>
                <c:ptCount val="8"/>
                <c:pt idx="0">
                  <c:v>94.254032258064512</c:v>
                </c:pt>
                <c:pt idx="1">
                  <c:v>92.028254288597381</c:v>
                </c:pt>
                <c:pt idx="2">
                  <c:v>92.25352112676056</c:v>
                </c:pt>
                <c:pt idx="3">
                  <c:v>91.27382146439318</c:v>
                </c:pt>
                <c:pt idx="4">
                  <c:v>91.282565130260522</c:v>
                </c:pt>
                <c:pt idx="5">
                  <c:v>92.076228686058172</c:v>
                </c:pt>
                <c:pt idx="6">
                  <c:v>93.454179254783483</c:v>
                </c:pt>
                <c:pt idx="7">
                  <c:v>92.756539235412475</c:v>
                </c:pt>
              </c:numCache>
            </c:numRef>
          </c:val>
          <c:smooth val="0"/>
        </c:ser>
        <c:ser>
          <c:idx val="2"/>
          <c:order val="1"/>
          <c:tx>
            <c:strRef>
              <c:f>'ΤΙΜΕΣ ΑΓΑΘΩΝ'!$A$24</c:f>
              <c:strCache>
                <c:ptCount val="1"/>
                <c:pt idx="0">
                  <c:v>ΠΡΟΒΛΕΨΗ (T+1)</c:v>
                </c:pt>
              </c:strCache>
            </c:strRef>
          </c:tx>
          <c:spPr>
            <a:ln>
              <a:solidFill>
                <a:srgbClr val="C00000"/>
              </a:solidFill>
            </a:ln>
          </c:spPr>
          <c:marker>
            <c:symbol val="none"/>
          </c:marker>
          <c:cat>
            <c:strRef>
              <c:f>'ΤΙΜΕΣ ΑΓΑΘΩΝ'!$B$22:$J$22</c:f>
              <c:strCache>
                <c:ptCount val="9"/>
                <c:pt idx="0">
                  <c:v>2015Α</c:v>
                </c:pt>
                <c:pt idx="1">
                  <c:v>2015Β</c:v>
                </c:pt>
                <c:pt idx="2">
                  <c:v>2016Α</c:v>
                </c:pt>
                <c:pt idx="3">
                  <c:v>2016Β</c:v>
                </c:pt>
                <c:pt idx="4">
                  <c:v>2017Α</c:v>
                </c:pt>
                <c:pt idx="5">
                  <c:v>2017Β</c:v>
                </c:pt>
                <c:pt idx="6">
                  <c:v>2018Α</c:v>
                </c:pt>
                <c:pt idx="7">
                  <c:v>2018Β</c:v>
                </c:pt>
                <c:pt idx="8">
                  <c:v>2019Α</c:v>
                </c:pt>
              </c:strCache>
            </c:strRef>
          </c:cat>
          <c:val>
            <c:numRef>
              <c:f>'ΤΙΜΕΣ ΑΓΑΘΩΝ'!$B$24:$J$24</c:f>
              <c:numCache>
                <c:formatCode>0.0</c:formatCode>
                <c:ptCount val="9"/>
                <c:pt idx="1">
                  <c:v>86.46616541353383</c:v>
                </c:pt>
                <c:pt idx="2">
                  <c:v>95.326086956521735</c:v>
                </c:pt>
                <c:pt idx="3">
                  <c:v>94.836670179135936</c:v>
                </c:pt>
                <c:pt idx="4">
                  <c:v>92.580982236154654</c:v>
                </c:pt>
                <c:pt idx="5">
                  <c:v>94.936708860759495</c:v>
                </c:pt>
                <c:pt idx="6">
                  <c:v>94.786235662148073</c:v>
                </c:pt>
                <c:pt idx="7">
                  <c:v>95.111583421891609</c:v>
                </c:pt>
                <c:pt idx="8">
                  <c:v>95.164609053497941</c:v>
                </c:pt>
              </c:numCache>
            </c:numRef>
          </c:val>
          <c:smooth val="0"/>
        </c:ser>
        <c:dLbls>
          <c:showLegendKey val="0"/>
          <c:showVal val="0"/>
          <c:showCatName val="0"/>
          <c:showSerName val="0"/>
          <c:showPercent val="0"/>
          <c:showBubbleSize val="0"/>
        </c:dLbls>
        <c:marker val="1"/>
        <c:smooth val="0"/>
        <c:axId val="349711744"/>
        <c:axId val="349918336"/>
      </c:lineChart>
      <c:catAx>
        <c:axId val="349711744"/>
        <c:scaling>
          <c:orientation val="minMax"/>
        </c:scaling>
        <c:delete val="0"/>
        <c:axPos val="b"/>
        <c:numFmt formatCode="0.0" sourceLinked="1"/>
        <c:majorTickMark val="none"/>
        <c:minorTickMark val="none"/>
        <c:tickLblPos val="low"/>
        <c:txPr>
          <a:bodyPr rot="-1560000"/>
          <a:lstStyle/>
          <a:p>
            <a:pPr>
              <a:defRPr/>
            </a:pPr>
            <a:endParaRPr lang="el-GR"/>
          </a:p>
        </c:txPr>
        <c:crossAx val="349918336"/>
        <c:crosses val="autoZero"/>
        <c:auto val="1"/>
        <c:lblAlgn val="ctr"/>
        <c:lblOffset val="100"/>
        <c:noMultiLvlLbl val="0"/>
      </c:catAx>
      <c:valAx>
        <c:axId val="349918336"/>
        <c:scaling>
          <c:orientation val="minMax"/>
        </c:scaling>
        <c:delete val="0"/>
        <c:axPos val="l"/>
        <c:majorGridlines/>
        <c:numFmt formatCode="0.0" sourceLinked="1"/>
        <c:majorTickMark val="none"/>
        <c:minorTickMark val="none"/>
        <c:tickLblPos val="nextTo"/>
        <c:crossAx val="349711744"/>
        <c:crosses val="autoZero"/>
        <c:crossBetween val="between"/>
      </c:valAx>
    </c:plotArea>
    <c:legend>
      <c:legendPos val="b"/>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l-GR" sz="1000" b="1" i="0" u="none" strike="noStrike" baseline="0">
                <a:effectLst/>
              </a:rPr>
              <a:t>Πόσο είναι περίπου το ποσόν για το οποίο θα φορολογηθείτε για το 2018</a:t>
            </a:r>
            <a:r>
              <a:rPr lang="en-US" sz="1000" b="1" i="0" u="none" strike="noStrike" baseline="0">
                <a:effectLst/>
              </a:rPr>
              <a:t/>
            </a:r>
            <a:br>
              <a:rPr lang="en-US" sz="1000" b="1" i="0" u="none" strike="noStrike" baseline="0">
                <a:effectLst/>
              </a:rPr>
            </a:br>
            <a:r>
              <a:rPr lang="el-GR" sz="1000" b="1" i="0" u="none" strike="noStrike" baseline="0">
                <a:effectLst/>
              </a:rPr>
              <a:t> (δηλαδή το κέρδος σύμφωνα με τη δήλωση);</a:t>
            </a:r>
          </a:p>
          <a:p>
            <a:pPr>
              <a:defRPr/>
            </a:pPr>
            <a:endParaRPr lang="el-GR" sz="1000"/>
          </a:p>
        </c:rich>
      </c:tx>
      <c:layout>
        <c:manualLayout>
          <c:xMode val="edge"/>
          <c:yMode val="edge"/>
          <c:x val="8.4737453272886343E-2"/>
          <c:y val="3.2139577594123052E-2"/>
        </c:manualLayout>
      </c:layout>
      <c:overlay val="0"/>
    </c:title>
    <c:autoTitleDeleted val="0"/>
    <c:plotArea>
      <c:layout/>
      <c:barChart>
        <c:barDir val="bar"/>
        <c:grouping val="clustered"/>
        <c:varyColors val="0"/>
        <c:ser>
          <c:idx val="0"/>
          <c:order val="0"/>
          <c:tx>
            <c:strRef>
              <c:f>Φύλλο1!$B$1</c:f>
              <c:strCache>
                <c:ptCount val="1"/>
                <c:pt idx="0">
                  <c:v>Στήλη1</c:v>
                </c:pt>
              </c:strCache>
            </c:strRef>
          </c:tx>
          <c:invertIfNegative val="0"/>
          <c:dPt>
            <c:idx val="0"/>
            <c:invertIfNegative val="0"/>
            <c:bubble3D val="0"/>
            <c:spPr>
              <a:solidFill>
                <a:schemeClr val="tx1">
                  <a:lumMod val="50000"/>
                  <a:lumOff val="50000"/>
                </a:schemeClr>
              </a:solidFill>
            </c:spPr>
            <c:extLst xmlns:c16r2="http://schemas.microsoft.com/office/drawing/2015/06/chart">
              <c:ext xmlns:c16="http://schemas.microsoft.com/office/drawing/2014/chart" uri="{C3380CC4-5D6E-409C-BE32-E72D297353CC}">
                <c16:uniqueId val="{00000001-2A3B-4D68-94A1-6FF28D268213}"/>
              </c:ext>
            </c:extLst>
          </c:dPt>
          <c:dLbls>
            <c:spPr>
              <a:noFill/>
              <a:ln>
                <a:noFill/>
              </a:ln>
              <a:effectLst/>
            </c:spPr>
            <c:txPr>
              <a:bodyPr/>
              <a:lstStyle/>
              <a:p>
                <a:pPr>
                  <a:defRPr sz="1400">
                    <a:latin typeface="Calibri" panose="020F0502020204030204" pitchFamily="34" charset="0"/>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Φύλλο1!$A$2:$A$8</c:f>
              <c:strCache>
                <c:ptCount val="7"/>
                <c:pt idx="0">
                  <c:v>ΔΓ/ΔΑ</c:v>
                </c:pt>
                <c:pt idx="1">
                  <c:v>Άνω των 30.000</c:v>
                </c:pt>
                <c:pt idx="2">
                  <c:v>20.000-30.000</c:v>
                </c:pt>
                <c:pt idx="3">
                  <c:v>10.000-20.000</c:v>
                </c:pt>
                <c:pt idx="4">
                  <c:v>5.000-10.000</c:v>
                </c:pt>
                <c:pt idx="5">
                  <c:v>Κάτω από 5.000</c:v>
                </c:pt>
                <c:pt idx="6">
                  <c:v>Ζημίες -Μηδενικό (δεν έχω κέρδη φορολογητέο εισόδημα)</c:v>
                </c:pt>
              </c:strCache>
            </c:strRef>
          </c:cat>
          <c:val>
            <c:numRef>
              <c:f>Φύλλο1!$B$2:$B$8</c:f>
              <c:numCache>
                <c:formatCode>0.0</c:formatCode>
                <c:ptCount val="7"/>
                <c:pt idx="0">
                  <c:v>22.1</c:v>
                </c:pt>
                <c:pt idx="1">
                  <c:v>9.1</c:v>
                </c:pt>
                <c:pt idx="2">
                  <c:v>4.3</c:v>
                </c:pt>
                <c:pt idx="3">
                  <c:v>9.6999999999999993</c:v>
                </c:pt>
                <c:pt idx="4">
                  <c:v>18.899999999999999</c:v>
                </c:pt>
                <c:pt idx="5">
                  <c:v>20.8</c:v>
                </c:pt>
                <c:pt idx="6">
                  <c:v>15.1</c:v>
                </c:pt>
              </c:numCache>
            </c:numRef>
          </c:val>
          <c:extLst xmlns:c16r2="http://schemas.microsoft.com/office/drawing/2015/06/chart">
            <c:ext xmlns:c16="http://schemas.microsoft.com/office/drawing/2014/chart" uri="{C3380CC4-5D6E-409C-BE32-E72D297353CC}">
              <c16:uniqueId val="{00000002-2A3B-4D68-94A1-6FF28D268213}"/>
            </c:ext>
          </c:extLst>
        </c:ser>
        <c:dLbls>
          <c:showLegendKey val="0"/>
          <c:showVal val="0"/>
          <c:showCatName val="0"/>
          <c:showSerName val="0"/>
          <c:showPercent val="0"/>
          <c:showBubbleSize val="0"/>
        </c:dLbls>
        <c:gapWidth val="75"/>
        <c:axId val="347199744"/>
        <c:axId val="346755072"/>
      </c:barChart>
      <c:catAx>
        <c:axId val="347199744"/>
        <c:scaling>
          <c:orientation val="minMax"/>
        </c:scaling>
        <c:delete val="0"/>
        <c:axPos val="l"/>
        <c:numFmt formatCode="General" sourceLinked="0"/>
        <c:majorTickMark val="out"/>
        <c:minorTickMark val="none"/>
        <c:tickLblPos val="nextTo"/>
        <c:txPr>
          <a:bodyPr/>
          <a:lstStyle/>
          <a:p>
            <a:pPr>
              <a:defRPr sz="800">
                <a:latin typeface="Calibri" panose="020F0502020204030204" pitchFamily="34" charset="0"/>
              </a:defRPr>
            </a:pPr>
            <a:endParaRPr lang="el-GR"/>
          </a:p>
        </c:txPr>
        <c:crossAx val="346755072"/>
        <c:crosses val="autoZero"/>
        <c:auto val="1"/>
        <c:lblAlgn val="ctr"/>
        <c:lblOffset val="100"/>
        <c:noMultiLvlLbl val="0"/>
      </c:catAx>
      <c:valAx>
        <c:axId val="346755072"/>
        <c:scaling>
          <c:orientation val="minMax"/>
          <c:max val="40"/>
          <c:min val="0"/>
        </c:scaling>
        <c:delete val="0"/>
        <c:axPos val="b"/>
        <c:majorGridlines/>
        <c:numFmt formatCode="0.0" sourceLinked="1"/>
        <c:majorTickMark val="out"/>
        <c:minorTickMark val="none"/>
        <c:tickLblPos val="nextTo"/>
        <c:txPr>
          <a:bodyPr/>
          <a:lstStyle/>
          <a:p>
            <a:pPr>
              <a:defRPr sz="1200">
                <a:latin typeface="Calibri" panose="020F0502020204030204" pitchFamily="34" charset="0"/>
              </a:defRPr>
            </a:pPr>
            <a:endParaRPr lang="el-GR"/>
          </a:p>
        </c:txPr>
        <c:crossAx val="347199744"/>
        <c:crosses val="autoZero"/>
        <c:crossBetween val="between"/>
        <c:majorUnit val="10"/>
      </c:valAx>
    </c:plotArea>
    <c:plotVisOnly val="1"/>
    <c:dispBlanksAs val="gap"/>
    <c:showDLblsOverMax val="0"/>
  </c:chart>
  <c:txPr>
    <a:bodyPr/>
    <a:lstStyle/>
    <a:p>
      <a:pPr>
        <a:defRPr sz="1800"/>
      </a:pPr>
      <a:endParaRPr lang="el-GR"/>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l-GR"/>
              <a:t>Γράφημα 6: Διαχρονική εξέλιξη τζίρου ΜμΕ</a:t>
            </a:r>
          </a:p>
        </c:rich>
      </c:tx>
      <c:overlay val="0"/>
    </c:title>
    <c:autoTitleDeleted val="0"/>
    <c:plotArea>
      <c:layout/>
      <c:lineChart>
        <c:grouping val="standard"/>
        <c:varyColors val="0"/>
        <c:ser>
          <c:idx val="0"/>
          <c:order val="0"/>
          <c:tx>
            <c:strRef>
              <c:f>'ΚΥΚΛΟΣ ΕΡΓΑΣΙΩΝ '!$A$2</c:f>
              <c:strCache>
                <c:ptCount val="1"/>
                <c:pt idx="0">
                  <c:v>έως 100000</c:v>
                </c:pt>
              </c:strCache>
            </c:strRef>
          </c:tx>
          <c:dLbls>
            <c:spPr>
              <a:noFill/>
              <a:ln>
                <a:noFill/>
              </a:ln>
              <a:effectLst/>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numRef>
              <c:f>'ΚΥΚΛΟΣ ΕΡΓΑΣΙΩΝ '!$B$1:$K$1</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'ΚΥΚΛΟΣ ΕΡΓΑΣΙΩΝ '!$B$2:$K$2</c:f>
              <c:numCache>
                <c:formatCode>General</c:formatCode>
                <c:ptCount val="10"/>
                <c:pt idx="0" formatCode="0.0">
                  <c:v>49.7</c:v>
                </c:pt>
                <c:pt idx="1">
                  <c:v>46.8</c:v>
                </c:pt>
                <c:pt idx="2">
                  <c:v>55.8</c:v>
                </c:pt>
                <c:pt idx="3">
                  <c:v>61.1</c:v>
                </c:pt>
                <c:pt idx="4" formatCode="0.0">
                  <c:v>64.8</c:v>
                </c:pt>
                <c:pt idx="5">
                  <c:v>64.599999999999994</c:v>
                </c:pt>
                <c:pt idx="6">
                  <c:v>67.900000000000006</c:v>
                </c:pt>
                <c:pt idx="7" formatCode="0.0">
                  <c:v>66.400000000000006</c:v>
                </c:pt>
                <c:pt idx="8" formatCode="0.0">
                  <c:v>61.7</c:v>
                </c:pt>
                <c:pt idx="9">
                  <c:v>56.8</c:v>
                </c:pt>
              </c:numCache>
            </c:numRef>
          </c:val>
          <c:smooth val="0"/>
          <c:extLst xmlns:c16r2="http://schemas.microsoft.com/office/drawing/2015/06/chart">
            <c:ext xmlns:c16="http://schemas.microsoft.com/office/drawing/2014/chart" uri="{C3380CC4-5D6E-409C-BE32-E72D297353CC}">
              <c16:uniqueId val="{00000000-1F41-4049-848C-0A43F89818F2}"/>
            </c:ext>
          </c:extLst>
        </c:ser>
        <c:ser>
          <c:idx val="1"/>
          <c:order val="1"/>
          <c:tx>
            <c:strRef>
              <c:f>'ΚΥΚΛΟΣ ΕΡΓΑΣΙΩΝ '!$A$3</c:f>
              <c:strCache>
                <c:ptCount val="1"/>
                <c:pt idx="0">
                  <c:v>100-300 χιλιάδες</c:v>
                </c:pt>
              </c:strCache>
            </c:strRef>
          </c:tx>
          <c:dLbls>
            <c:dLbl>
              <c:idx val="3"/>
              <c:layout>
                <c:manualLayout>
                  <c:x val="-6.292072815656885E-2"/>
                  <c:y val="-3.168140639311582E-2"/>
                </c:manualLayout>
              </c:layout>
              <c:dLblPos val="r"/>
              <c:showLegendKey val="0"/>
              <c:showVal val="1"/>
              <c:showCatName val="0"/>
              <c:showSerName val="0"/>
              <c:showPercent val="0"/>
              <c:showBubbleSize val="0"/>
            </c:dLbl>
            <c:spPr>
              <a:noFill/>
              <a:ln>
                <a:noFill/>
              </a:ln>
              <a:effectLst/>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numRef>
              <c:f>'ΚΥΚΛΟΣ ΕΡΓΑΣΙΩΝ '!$B$1:$K$1</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'ΚΥΚΛΟΣ ΕΡΓΑΣΙΩΝ '!$B$3:$K$3</c:f>
              <c:numCache>
                <c:formatCode>General</c:formatCode>
                <c:ptCount val="10"/>
                <c:pt idx="0">
                  <c:v>25.4</c:v>
                </c:pt>
                <c:pt idx="1">
                  <c:v>26</c:v>
                </c:pt>
                <c:pt idx="2">
                  <c:v>23</c:v>
                </c:pt>
                <c:pt idx="3">
                  <c:v>18.3</c:v>
                </c:pt>
                <c:pt idx="4" formatCode="0.0">
                  <c:v>16.8</c:v>
                </c:pt>
                <c:pt idx="5">
                  <c:v>18.8</c:v>
                </c:pt>
                <c:pt idx="6">
                  <c:v>16.5</c:v>
                </c:pt>
                <c:pt idx="7" formatCode="0.0">
                  <c:v>14.8</c:v>
                </c:pt>
                <c:pt idx="8" formatCode="0.0">
                  <c:v>15.5</c:v>
                </c:pt>
                <c:pt idx="9" formatCode="0.0">
                  <c:v>18.399999999999999</c:v>
                </c:pt>
              </c:numCache>
            </c:numRef>
          </c:val>
          <c:smooth val="0"/>
          <c:extLst xmlns:c16r2="http://schemas.microsoft.com/office/drawing/2015/06/chart">
            <c:ext xmlns:c16="http://schemas.microsoft.com/office/drawing/2014/chart" uri="{C3380CC4-5D6E-409C-BE32-E72D297353CC}">
              <c16:uniqueId val="{00000001-1F41-4049-848C-0A43F89818F2}"/>
            </c:ext>
          </c:extLst>
        </c:ser>
        <c:ser>
          <c:idx val="2"/>
          <c:order val="2"/>
          <c:tx>
            <c:strRef>
              <c:f>'ΚΥΚΛΟΣ ΕΡΓΑΣΙΩΝ '!$A$4</c:f>
              <c:strCache>
                <c:ptCount val="1"/>
                <c:pt idx="0">
                  <c:v>Πάνω από 300 χιλιάδες</c:v>
                </c:pt>
              </c:strCache>
            </c:strRef>
          </c:tx>
          <c:dLbls>
            <c:dLbl>
              <c:idx val="3"/>
              <c:layout>
                <c:manualLayout>
                  <c:x val="-7.1865373741465599E-3"/>
                  <c:y val="2.38612695407209E-2"/>
                </c:manualLayout>
              </c:layout>
              <c:dLblPos val="r"/>
              <c:showLegendKey val="0"/>
              <c:showVal val="1"/>
              <c:showCatName val="0"/>
              <c:showSerName val="0"/>
              <c:showPercent val="0"/>
              <c:showBubbleSize val="0"/>
            </c:dLbl>
            <c:spPr>
              <a:noFill/>
              <a:ln>
                <a:noFill/>
              </a:ln>
              <a:effectLst/>
            </c:spPr>
            <c:dLblPos val="b"/>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numRef>
              <c:f>'ΚΥΚΛΟΣ ΕΡΓΑΣΙΩΝ '!$B$1:$K$1</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'ΚΥΚΛΟΣ ΕΡΓΑΣΙΩΝ '!$B$4:$K$4</c:f>
              <c:numCache>
                <c:formatCode>General</c:formatCode>
                <c:ptCount val="10"/>
                <c:pt idx="0">
                  <c:v>20.8</c:v>
                </c:pt>
                <c:pt idx="1">
                  <c:v>17</c:v>
                </c:pt>
                <c:pt idx="2">
                  <c:v>14.2</c:v>
                </c:pt>
                <c:pt idx="3">
                  <c:v>18.600000000000001</c:v>
                </c:pt>
                <c:pt idx="4" formatCode="0.0">
                  <c:v>13.1</c:v>
                </c:pt>
                <c:pt idx="5">
                  <c:v>11.9</c:v>
                </c:pt>
                <c:pt idx="6">
                  <c:v>10.6</c:v>
                </c:pt>
                <c:pt idx="7" formatCode="0.0">
                  <c:v>10.6</c:v>
                </c:pt>
                <c:pt idx="8" formatCode="0.0">
                  <c:v>14.9</c:v>
                </c:pt>
                <c:pt idx="9">
                  <c:v>18.2</c:v>
                </c:pt>
              </c:numCache>
            </c:numRef>
          </c:val>
          <c:smooth val="0"/>
          <c:extLst xmlns:c16r2="http://schemas.microsoft.com/office/drawing/2015/06/chart">
            <c:ext xmlns:c16="http://schemas.microsoft.com/office/drawing/2014/chart" uri="{C3380CC4-5D6E-409C-BE32-E72D297353CC}">
              <c16:uniqueId val="{00000004-1F41-4049-848C-0A43F89818F2}"/>
            </c:ext>
          </c:extLst>
        </c:ser>
        <c:dLbls>
          <c:showLegendKey val="0"/>
          <c:showVal val="0"/>
          <c:showCatName val="0"/>
          <c:showSerName val="0"/>
          <c:showPercent val="0"/>
          <c:showBubbleSize val="0"/>
        </c:dLbls>
        <c:marker val="1"/>
        <c:smooth val="0"/>
        <c:axId val="346899200"/>
        <c:axId val="346900736"/>
      </c:lineChart>
      <c:catAx>
        <c:axId val="346899200"/>
        <c:scaling>
          <c:orientation val="minMax"/>
        </c:scaling>
        <c:delete val="0"/>
        <c:axPos val="b"/>
        <c:numFmt formatCode="General" sourceLinked="1"/>
        <c:majorTickMark val="out"/>
        <c:minorTickMark val="none"/>
        <c:tickLblPos val="nextTo"/>
        <c:crossAx val="346900736"/>
        <c:crosses val="autoZero"/>
        <c:auto val="1"/>
        <c:lblAlgn val="ctr"/>
        <c:lblOffset val="100"/>
        <c:noMultiLvlLbl val="0"/>
      </c:catAx>
      <c:valAx>
        <c:axId val="346900736"/>
        <c:scaling>
          <c:orientation val="minMax"/>
        </c:scaling>
        <c:delete val="0"/>
        <c:axPos val="l"/>
        <c:majorGridlines/>
        <c:numFmt formatCode="0.0" sourceLinked="1"/>
        <c:majorTickMark val="out"/>
        <c:minorTickMark val="none"/>
        <c:tickLblPos val="nextTo"/>
        <c:crossAx val="346899200"/>
        <c:crosses val="autoZero"/>
        <c:crossBetween val="between"/>
      </c:valAx>
    </c:plotArea>
    <c:legend>
      <c:legendPos val="t"/>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l-GR"/>
              <a:t>Γράφημα 7:</a:t>
            </a:r>
            <a:r>
              <a:rPr lang="el-GR" baseline="0"/>
              <a:t> Δείκτης </a:t>
            </a:r>
            <a:r>
              <a:rPr lang="el-GR"/>
              <a:t>Ρευστότητας</a:t>
            </a:r>
          </a:p>
        </c:rich>
      </c:tx>
      <c:overlay val="0"/>
    </c:title>
    <c:autoTitleDeleted val="0"/>
    <c:plotArea>
      <c:layout/>
      <c:lineChart>
        <c:grouping val="standard"/>
        <c:varyColors val="0"/>
        <c:ser>
          <c:idx val="0"/>
          <c:order val="0"/>
          <c:tx>
            <c:strRef>
              <c:f>ΡΕΥΣΤΟΤΗΤΑ!$A$3</c:f>
              <c:strCache>
                <c:ptCount val="1"/>
                <c:pt idx="0">
                  <c:v>ΑΠΟΤΙΜΗΣΗ</c:v>
                </c:pt>
              </c:strCache>
            </c:strRef>
          </c:tx>
          <c:dLbls>
            <c:dLblPos val="b"/>
            <c:showLegendKey val="0"/>
            <c:showVal val="1"/>
            <c:showCatName val="0"/>
            <c:showSerName val="0"/>
            <c:showPercent val="0"/>
            <c:showBubbleSize val="0"/>
            <c:showLeaderLines val="0"/>
          </c:dLbls>
          <c:cat>
            <c:strRef>
              <c:f>ΡΕΥΣΤΟΤΗΤΑ!$B$2:$V$2</c:f>
              <c:strCache>
                <c:ptCount val="21"/>
                <c:pt idx="0">
                  <c:v>2009Β</c:v>
                </c:pt>
                <c:pt idx="1">
                  <c:v>2010Α</c:v>
                </c:pt>
                <c:pt idx="2">
                  <c:v>2010Β</c:v>
                </c:pt>
                <c:pt idx="3">
                  <c:v>2011Α</c:v>
                </c:pt>
                <c:pt idx="4">
                  <c:v>2011Β</c:v>
                </c:pt>
                <c:pt idx="5">
                  <c:v>2012Α</c:v>
                </c:pt>
                <c:pt idx="6">
                  <c:v>2012Β</c:v>
                </c:pt>
                <c:pt idx="7">
                  <c:v>2013Α</c:v>
                </c:pt>
                <c:pt idx="8">
                  <c:v>2013Β</c:v>
                </c:pt>
                <c:pt idx="9">
                  <c:v>2014Α</c:v>
                </c:pt>
                <c:pt idx="10">
                  <c:v>2014Β</c:v>
                </c:pt>
                <c:pt idx="11">
                  <c:v>2015Α</c:v>
                </c:pt>
                <c:pt idx="12">
                  <c:v>2015Β</c:v>
                </c:pt>
                <c:pt idx="13">
                  <c:v>2016Α</c:v>
                </c:pt>
                <c:pt idx="14">
                  <c:v>2016Β</c:v>
                </c:pt>
                <c:pt idx="15">
                  <c:v>2017Α</c:v>
                </c:pt>
                <c:pt idx="16">
                  <c:v>2017Β</c:v>
                </c:pt>
                <c:pt idx="17">
                  <c:v>2018Α</c:v>
                </c:pt>
                <c:pt idx="18">
                  <c:v>2018Β</c:v>
                </c:pt>
                <c:pt idx="19">
                  <c:v>2019Α</c:v>
                </c:pt>
                <c:pt idx="20">
                  <c:v>2019Β</c:v>
                </c:pt>
              </c:strCache>
            </c:strRef>
          </c:cat>
          <c:val>
            <c:numRef>
              <c:f>ΡΕΥΣΤΟΤΗΤΑ!$B$3:$V$3</c:f>
              <c:numCache>
                <c:formatCode>0</c:formatCode>
                <c:ptCount val="21"/>
                <c:pt idx="0">
                  <c:v>25.22522522522523</c:v>
                </c:pt>
                <c:pt idx="1">
                  <c:v>20.282542885973768</c:v>
                </c:pt>
                <c:pt idx="2">
                  <c:v>15.531062124248493</c:v>
                </c:pt>
                <c:pt idx="3">
                  <c:v>16.733870967741936</c:v>
                </c:pt>
                <c:pt idx="4">
                  <c:v>13.841524573721173</c:v>
                </c:pt>
                <c:pt idx="5">
                  <c:v>12.714429868819366</c:v>
                </c:pt>
                <c:pt idx="6">
                  <c:v>14.829659318637269</c:v>
                </c:pt>
                <c:pt idx="7">
                  <c:v>18.299999999999997</c:v>
                </c:pt>
                <c:pt idx="8">
                  <c:v>23.316582914572862</c:v>
                </c:pt>
                <c:pt idx="9">
                  <c:v>26.760563380281681</c:v>
                </c:pt>
                <c:pt idx="10">
                  <c:v>37.223340040241453</c:v>
                </c:pt>
                <c:pt idx="11">
                  <c:v>17.806841046277668</c:v>
                </c:pt>
                <c:pt idx="12">
                  <c:v>25.100401606425706</c:v>
                </c:pt>
                <c:pt idx="13">
                  <c:v>23.665659617321253</c:v>
                </c:pt>
                <c:pt idx="14">
                  <c:v>29.405840886203436</c:v>
                </c:pt>
                <c:pt idx="15">
                  <c:v>34.434434434434436</c:v>
                </c:pt>
                <c:pt idx="16">
                  <c:v>41.575274177467598</c:v>
                </c:pt>
                <c:pt idx="17">
                  <c:v>46.208291203235596</c:v>
                </c:pt>
                <c:pt idx="18">
                  <c:v>51.356783919597987</c:v>
                </c:pt>
                <c:pt idx="19">
                  <c:v>53.036437246963558</c:v>
                </c:pt>
              </c:numCache>
            </c:numRef>
          </c:val>
          <c:smooth val="0"/>
        </c:ser>
        <c:dLbls>
          <c:showLegendKey val="0"/>
          <c:showVal val="0"/>
          <c:showCatName val="0"/>
          <c:showSerName val="0"/>
          <c:showPercent val="0"/>
          <c:showBubbleSize val="0"/>
        </c:dLbls>
        <c:marker val="1"/>
        <c:smooth val="0"/>
        <c:axId val="346184704"/>
        <c:axId val="346809088"/>
      </c:lineChart>
      <c:catAx>
        <c:axId val="346184704"/>
        <c:scaling>
          <c:orientation val="minMax"/>
        </c:scaling>
        <c:delete val="0"/>
        <c:axPos val="b"/>
        <c:majorTickMark val="none"/>
        <c:minorTickMark val="none"/>
        <c:tickLblPos val="low"/>
        <c:crossAx val="346809088"/>
        <c:crosses val="autoZero"/>
        <c:auto val="1"/>
        <c:lblAlgn val="ctr"/>
        <c:lblOffset val="100"/>
        <c:noMultiLvlLbl val="0"/>
      </c:catAx>
      <c:valAx>
        <c:axId val="346809088"/>
        <c:scaling>
          <c:orientation val="minMax"/>
        </c:scaling>
        <c:delete val="0"/>
        <c:axPos val="l"/>
        <c:majorGridlines/>
        <c:title>
          <c:tx>
            <c:rich>
              <a:bodyPr/>
              <a:lstStyle/>
              <a:p>
                <a:pPr>
                  <a:defRPr/>
                </a:pPr>
                <a:r>
                  <a:rPr lang="el-GR"/>
                  <a:t>ΔΕΙΚΤΗΣ ΚΛΙΜΑΤΟΣ</a:t>
                </a:r>
              </a:p>
            </c:rich>
          </c:tx>
          <c:overlay val="0"/>
        </c:title>
        <c:numFmt formatCode="0" sourceLinked="1"/>
        <c:majorTickMark val="none"/>
        <c:minorTickMark val="none"/>
        <c:tickLblPos val="nextTo"/>
        <c:crossAx val="346184704"/>
        <c:crosses val="autoZero"/>
        <c:crossBetween val="between"/>
      </c:valAx>
    </c:plotArea>
    <c:legend>
      <c:legendPos val="b"/>
      <c:overlay val="0"/>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125000000000001"/>
          <c:y val="0.18125000000000005"/>
          <c:w val="0.53749999999999998"/>
          <c:h val="0.80625000000000002"/>
        </c:manualLayout>
      </c:layout>
      <c:doughnutChart>
        <c:varyColors val="1"/>
        <c:ser>
          <c:idx val="0"/>
          <c:order val="0"/>
          <c:tx>
            <c:strRef>
              <c:f>Φύλλο1!$B$1</c:f>
              <c:strCache>
                <c:ptCount val="1"/>
                <c:pt idx="0">
                  <c:v>Πωλήσεις</c:v>
                </c:pt>
              </c:strCache>
            </c:strRef>
          </c:tx>
          <c:spPr>
            <a:ln>
              <a:solidFill>
                <a:schemeClr val="bg1">
                  <a:lumMod val="95000"/>
                </a:schemeClr>
              </a:solidFill>
            </a:ln>
          </c:spPr>
          <c:dPt>
            <c:idx val="0"/>
            <c:bubble3D val="0"/>
            <c:spPr>
              <a:solidFill>
                <a:schemeClr val="accent3">
                  <a:lumMod val="75000"/>
                </a:schemeClr>
              </a:solidFill>
              <a:ln>
                <a:solidFill>
                  <a:schemeClr val="bg1">
                    <a:lumMod val="95000"/>
                  </a:schemeClr>
                </a:solidFill>
              </a:ln>
            </c:spPr>
            <c:extLst xmlns:c16r2="http://schemas.microsoft.com/office/drawing/2015/06/chart">
              <c:ext xmlns:c16="http://schemas.microsoft.com/office/drawing/2014/chart" uri="{C3380CC4-5D6E-409C-BE32-E72D297353CC}">
                <c16:uniqueId val="{00000000-8DD4-4045-A359-05244B45AF57}"/>
              </c:ext>
            </c:extLst>
          </c:dPt>
          <c:dPt>
            <c:idx val="1"/>
            <c:bubble3D val="0"/>
            <c:spPr>
              <a:solidFill>
                <a:schemeClr val="accent2">
                  <a:lumMod val="75000"/>
                </a:schemeClr>
              </a:solidFill>
              <a:ln>
                <a:solidFill>
                  <a:schemeClr val="bg1">
                    <a:lumMod val="95000"/>
                  </a:schemeClr>
                </a:solidFill>
              </a:ln>
            </c:spPr>
            <c:extLst xmlns:c16r2="http://schemas.microsoft.com/office/drawing/2015/06/chart">
              <c:ext xmlns:c16="http://schemas.microsoft.com/office/drawing/2014/chart" uri="{C3380CC4-5D6E-409C-BE32-E72D297353CC}">
                <c16:uniqueId val="{00000001-8DD4-4045-A359-05244B45AF57}"/>
              </c:ext>
            </c:extLst>
          </c:dPt>
          <c:dPt>
            <c:idx val="2"/>
            <c:bubble3D val="0"/>
            <c:spPr>
              <a:solidFill>
                <a:schemeClr val="accent1">
                  <a:lumMod val="75000"/>
                </a:schemeClr>
              </a:solidFill>
              <a:ln>
                <a:solidFill>
                  <a:schemeClr val="bg1">
                    <a:lumMod val="95000"/>
                  </a:schemeClr>
                </a:solidFill>
              </a:ln>
            </c:spPr>
            <c:extLst xmlns:c16r2="http://schemas.microsoft.com/office/drawing/2015/06/chart">
              <c:ext xmlns:c16="http://schemas.microsoft.com/office/drawing/2014/chart" uri="{C3380CC4-5D6E-409C-BE32-E72D297353CC}">
                <c16:uniqueId val="{00000002-8DD4-4045-A359-05244B45AF57}"/>
              </c:ext>
            </c:extLst>
          </c:dPt>
          <c:dPt>
            <c:idx val="3"/>
            <c:bubble3D val="0"/>
            <c:spPr>
              <a:solidFill>
                <a:schemeClr val="tx1">
                  <a:lumMod val="50000"/>
                  <a:lumOff val="50000"/>
                </a:schemeClr>
              </a:solidFill>
              <a:ln>
                <a:solidFill>
                  <a:schemeClr val="bg1">
                    <a:lumMod val="95000"/>
                  </a:schemeClr>
                </a:solidFill>
              </a:ln>
            </c:spPr>
            <c:extLst xmlns:c16r2="http://schemas.microsoft.com/office/drawing/2015/06/chart">
              <c:ext xmlns:c16="http://schemas.microsoft.com/office/drawing/2014/chart" uri="{C3380CC4-5D6E-409C-BE32-E72D297353CC}">
                <c16:uniqueId val="{00000003-8DD4-4045-A359-05244B45AF57}"/>
              </c:ext>
            </c:extLst>
          </c:dPt>
          <c:dPt>
            <c:idx val="4"/>
            <c:bubble3D val="0"/>
            <c:spPr>
              <a:solidFill>
                <a:schemeClr val="tx1">
                  <a:lumMod val="50000"/>
                  <a:lumOff val="50000"/>
                </a:schemeClr>
              </a:solidFill>
              <a:ln>
                <a:solidFill>
                  <a:schemeClr val="bg1">
                    <a:lumMod val="95000"/>
                  </a:schemeClr>
                </a:solidFill>
              </a:ln>
            </c:spPr>
            <c:extLst xmlns:c16r2="http://schemas.microsoft.com/office/drawing/2015/06/chart">
              <c:ext xmlns:c16="http://schemas.microsoft.com/office/drawing/2014/chart" uri="{C3380CC4-5D6E-409C-BE32-E72D297353CC}">
                <c16:uniqueId val="{00000008-FCE8-420F-9AAD-F50B890A654D}"/>
              </c:ext>
            </c:extLst>
          </c:dPt>
          <c:dLbls>
            <c:dLbl>
              <c:idx val="0"/>
              <c:layout>
                <c:manualLayout>
                  <c:x val="2.7083169291338582E-2"/>
                  <c:y val="-0.18459891732283465"/>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8DD4-4045-A359-05244B45AF57}"/>
                </c:ext>
              </c:extLst>
            </c:dLbl>
            <c:dLbl>
              <c:idx val="1"/>
              <c:layout>
                <c:manualLayout>
                  <c:x val="0.12013888888888898"/>
                  <c:y val="-0.15207984815046907"/>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8DD4-4045-A359-05244B45AF57}"/>
                </c:ext>
              </c:extLst>
            </c:dLbl>
            <c:dLbl>
              <c:idx val="2"/>
              <c:layout>
                <c:manualLayout>
                  <c:x val="0.37916666666666665"/>
                  <c:y val="-0.3171646161417323"/>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8DD4-4045-A359-05244B45AF57}"/>
                </c:ext>
              </c:extLst>
            </c:dLbl>
            <c:dLbl>
              <c:idx val="3"/>
              <c:layout>
                <c:manualLayout>
                  <c:x val="-4.1435185185185186E-2"/>
                  <c:y val="-0.17500004540954872"/>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8DD4-4045-A359-05244B45AF57}"/>
                </c:ext>
              </c:extLst>
            </c:dLbl>
            <c:dLbl>
              <c:idx val="4"/>
              <c:layout>
                <c:manualLayout>
                  <c:x val="-0.05"/>
                  <c:y val="-0.17499999999999999"/>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FCE8-420F-9AAD-F50B890A654D}"/>
                </c:ext>
              </c:extLst>
            </c:dLbl>
            <c:spPr>
              <a:noFill/>
              <a:ln>
                <a:noFill/>
              </a:ln>
              <a:effectLst/>
            </c:spPr>
            <c:txPr>
              <a:bodyPr/>
              <a:lstStyle/>
              <a:p>
                <a:pPr>
                  <a:defRPr sz="1200">
                    <a:latin typeface="Calibri" panose="020F0502020204030204" pitchFamily="34" charset="0"/>
                  </a:defRPr>
                </a:pPr>
                <a:endParaRPr lang="el-GR"/>
              </a:p>
            </c:txPr>
            <c:showLegendKey val="0"/>
            <c:showVal val="1"/>
            <c:showCatName val="1"/>
            <c:showSerName val="0"/>
            <c:showPercent val="0"/>
            <c:showBubbleSize val="0"/>
            <c:separator>
</c:separator>
            <c:showLeaderLines val="0"/>
            <c:extLst xmlns:c16r2="http://schemas.microsoft.com/office/drawing/2015/06/chart">
              <c:ext xmlns:c15="http://schemas.microsoft.com/office/drawing/2012/chart" uri="{CE6537A1-D6FC-4f65-9D91-7224C49458BB}"/>
            </c:extLst>
          </c:dLbls>
          <c:cat>
            <c:strRef>
              <c:f>Φύλλο1!$A$2:$A$5</c:f>
              <c:strCache>
                <c:ptCount val="4"/>
                <c:pt idx="0">
                  <c:v>Ναι και εγκρίθηκε</c:v>
                </c:pt>
                <c:pt idx="1">
                  <c:v>Ναι και απορρίφθηκε</c:v>
                </c:pt>
                <c:pt idx="2">
                  <c:v>Όχι</c:v>
                </c:pt>
                <c:pt idx="3">
                  <c:v>ΔΑ</c:v>
                </c:pt>
              </c:strCache>
            </c:strRef>
          </c:cat>
          <c:val>
            <c:numRef>
              <c:f>Φύλλο1!$B$2:$B$5</c:f>
              <c:numCache>
                <c:formatCode>0.0</c:formatCode>
                <c:ptCount val="4"/>
                <c:pt idx="0">
                  <c:v>3.598014888337469</c:v>
                </c:pt>
                <c:pt idx="1">
                  <c:v>4.2183622828784122</c:v>
                </c:pt>
                <c:pt idx="2">
                  <c:v>90.446650124069478</c:v>
                </c:pt>
                <c:pt idx="3">
                  <c:v>1.8</c:v>
                </c:pt>
              </c:numCache>
            </c:numRef>
          </c:val>
          <c:extLst xmlns:c16r2="http://schemas.microsoft.com/office/drawing/2015/06/chart">
            <c:ext xmlns:c16="http://schemas.microsoft.com/office/drawing/2014/chart" uri="{C3380CC4-5D6E-409C-BE32-E72D297353CC}">
              <c16:uniqueId val="{00000004-8DD4-4045-A359-05244B45AF57}"/>
            </c:ext>
          </c:extLst>
        </c:ser>
        <c:dLbls>
          <c:showLegendKey val="0"/>
          <c:showVal val="0"/>
          <c:showCatName val="0"/>
          <c:showSerName val="0"/>
          <c:showPercent val="0"/>
          <c:showBubbleSize val="0"/>
          <c:showLeaderLines val="0"/>
        </c:dLbls>
        <c:firstSliceAng val="0"/>
        <c:holeSize val="50"/>
      </c:doughnutChart>
    </c:plotArea>
    <c:plotVisOnly val="1"/>
    <c:dispBlanksAs val="zero"/>
    <c:showDLblsOverMax val="0"/>
  </c:chart>
  <c:txPr>
    <a:bodyPr/>
    <a:lstStyle/>
    <a:p>
      <a:pPr>
        <a:defRPr sz="1800"/>
      </a:pPr>
      <a:endParaRPr lang="el-G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3838738341904691E-2"/>
          <c:y val="7.5445004201649166E-2"/>
          <c:w val="0.91937257239154113"/>
          <c:h val="0.79216619375557451"/>
        </c:manualLayout>
      </c:layout>
      <c:lineChart>
        <c:grouping val="standard"/>
        <c:varyColors val="0"/>
        <c:ser>
          <c:idx val="0"/>
          <c:order val="0"/>
          <c:tx>
            <c:strRef>
              <c:f>Φύλλο1!$B$1</c:f>
              <c:strCache>
                <c:ptCount val="1"/>
                <c:pt idx="0">
                  <c:v>Αύξηση</c:v>
                </c:pt>
              </c:strCache>
            </c:strRef>
          </c:tx>
          <c:spPr>
            <a:ln>
              <a:solidFill>
                <a:schemeClr val="accent3">
                  <a:lumMod val="75000"/>
                </a:schemeClr>
              </a:solidFill>
            </a:ln>
          </c:spPr>
          <c:marker>
            <c:spPr>
              <a:solidFill>
                <a:schemeClr val="accent3">
                  <a:lumMod val="75000"/>
                </a:schemeClr>
              </a:solidFill>
              <a:ln>
                <a:solidFill>
                  <a:schemeClr val="accent3">
                    <a:lumMod val="75000"/>
                  </a:schemeClr>
                </a:solidFill>
              </a:ln>
            </c:spPr>
          </c:marker>
          <c:dLbls>
            <c:dLbl>
              <c:idx val="0"/>
              <c:layout>
                <c:manualLayout>
                  <c:x val="-2.6128784044571168E-2"/>
                  <c:y val="-3.359415091444862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192E-4772-9B2F-661482E72552}"/>
                </c:ext>
              </c:extLst>
            </c:dLbl>
            <c:dLbl>
              <c:idx val="1"/>
              <c:layout>
                <c:manualLayout>
                  <c:x val="-3.4294029058499674E-2"/>
                  <c:y val="-2.23961006096324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92E-4772-9B2F-661482E72552}"/>
                </c:ext>
              </c:extLst>
            </c:dLbl>
            <c:dLbl>
              <c:idx val="2"/>
              <c:layout>
                <c:manualLayout>
                  <c:x val="-3.2660980055714002E-2"/>
                  <c:y val="-3.079463833824459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192E-4772-9B2F-661482E72552}"/>
                </c:ext>
              </c:extLst>
            </c:dLbl>
            <c:dLbl>
              <c:idx val="3"/>
              <c:layout>
                <c:manualLayout>
                  <c:x val="-3.3931096202661513E-2"/>
                  <c:y val="-2.795132138095767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192E-4772-9B2F-661482E72552}"/>
                </c:ext>
              </c:extLst>
            </c:dLbl>
            <c:dLbl>
              <c:idx val="4"/>
              <c:layout>
                <c:manualLayout>
                  <c:x val="-3.1027931052928281E-2"/>
                  <c:y val="-3.639366349065272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192E-4772-9B2F-661482E72552}"/>
                </c:ext>
              </c:extLst>
            </c:dLbl>
            <c:dLbl>
              <c:idx val="5"/>
              <c:layout>
                <c:manualLayout>
                  <c:x val="-3.9193176066856836E-2"/>
                  <c:y val="-3.079463833824459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192E-4772-9B2F-661482E72552}"/>
                </c:ext>
              </c:extLst>
            </c:dLbl>
            <c:dLbl>
              <c:idx val="6"/>
              <c:layout>
                <c:manualLayout>
                  <c:x val="-1.9026409403777832E-2"/>
                  <c:y val="-2.838877277524719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192E-4772-9B2F-661482E72552}"/>
                </c:ext>
              </c:extLst>
            </c:dLbl>
            <c:dLbl>
              <c:idx val="7"/>
              <c:layout>
                <c:manualLayout>
                  <c:x val="-2.3718113766267142E-2"/>
                  <c:y val="-1.929039134540621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192E-4772-9B2F-661482E72552}"/>
                </c:ext>
              </c:extLst>
            </c:dLbl>
            <c:dLbl>
              <c:idx val="8"/>
              <c:layout>
                <c:manualLayout>
                  <c:x val="-2.688052893510277E-2"/>
                  <c:y val="-3.031347211420961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192E-4772-9B2F-661482E72552}"/>
                </c:ext>
              </c:extLst>
            </c:dLbl>
            <c:dLbl>
              <c:idx val="9"/>
              <c:layout>
                <c:manualLayout>
                  <c:x val="-3.1624151688356202E-2"/>
                  <c:y val="-2.480193172980785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192E-4772-9B2F-661482E72552}"/>
                </c:ext>
              </c:extLst>
            </c:dLbl>
            <c:dLbl>
              <c:idx val="10"/>
              <c:layout>
                <c:manualLayout>
                  <c:x val="-3.4786578912743768E-2"/>
                  <c:y val="-3.075948660760770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192E-4772-9B2F-661482E72552}"/>
                </c:ext>
              </c:extLst>
            </c:dLbl>
            <c:dLbl>
              <c:idx val="11"/>
              <c:layout>
                <c:manualLayout>
                  <c:x val="-2.8529320908201615E-2"/>
                  <c:y val="-3.515581081002309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192E-4772-9B2F-661482E72552}"/>
                </c:ext>
              </c:extLst>
            </c:dLbl>
            <c:dLbl>
              <c:idx val="12"/>
              <c:layout>
                <c:manualLayout>
                  <c:x val="-2.2677986770171292E-2"/>
                  <c:y val="-2.491340605087451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192E-4772-9B2F-661482E72552}"/>
                </c:ext>
              </c:extLst>
            </c:dLbl>
            <c:dLbl>
              <c:idx val="13"/>
              <c:layout>
                <c:manualLayout>
                  <c:x val="-3.2596663749163472E-2"/>
                  <c:y val="-3.306914440431128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192E-4772-9B2F-661482E72552}"/>
                </c:ext>
              </c:extLst>
            </c:dLbl>
            <c:dLbl>
              <c:idx val="14"/>
              <c:layout>
                <c:manualLayout>
                  <c:x val="-2.0356378749134759E-2"/>
                  <c:y val="-4.759648177467010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192E-4772-9B2F-661482E72552}"/>
                </c:ext>
              </c:extLst>
            </c:dLbl>
            <c:dLbl>
              <c:idx val="15"/>
              <c:layout>
                <c:manualLayout>
                  <c:x val="-1.8642858610798861E-2"/>
                  <c:y val="-2.908673886229834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192E-4772-9B2F-661482E72552}"/>
                </c:ext>
              </c:extLst>
            </c:dLbl>
            <c:dLbl>
              <c:idx val="16"/>
              <c:layout>
                <c:manualLayout>
                  <c:x val="-2.9517859467098045E-2"/>
                  <c:y val="-2.64424898748166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192E-4772-9B2F-661482E72552}"/>
                </c:ext>
              </c:extLst>
            </c:dLbl>
            <c:dLbl>
              <c:idx val="17"/>
              <c:layout>
                <c:manualLayout>
                  <c:x val="-1.8642858610798781E-2"/>
                  <c:y val="-3.43752368372616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192E-4772-9B2F-661482E72552}"/>
                </c:ext>
              </c:extLst>
            </c:dLbl>
            <c:dLbl>
              <c:idx val="18"/>
              <c:layout>
                <c:manualLayout>
                  <c:x val="-2.4217184285145171E-2"/>
                  <c:y val="-3.173098784978000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5128-471E-83BA-D1CF6A3AA79F}"/>
                </c:ext>
              </c:extLst>
            </c:dLbl>
            <c:dLbl>
              <c:idx val="19"/>
              <c:layout>
                <c:manualLayout>
                  <c:x val="-1.3622166160394146E-2"/>
                  <c:y val="-2.115399189985343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43E5-44B7-A144-82B09F1A8C04}"/>
                </c:ext>
              </c:extLst>
            </c:dLbl>
            <c:spPr>
              <a:noFill/>
              <a:ln>
                <a:noFill/>
              </a:ln>
              <a:effectLst/>
            </c:spPr>
            <c:txPr>
              <a:bodyPr/>
              <a:lstStyle/>
              <a:p>
                <a:pPr>
                  <a:defRPr sz="800">
                    <a:latin typeface="Calibri" panose="020F0502020204030204" pitchFamily="34" charset="0"/>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Φύλλο1!$A$2:$A$21</c:f>
              <c:strCache>
                <c:ptCount val="20"/>
                <c:pt idx="0">
                  <c:v>ΦΕΒΡ. 2010</c:v>
                </c:pt>
                <c:pt idx="1">
                  <c:v>ΙΟΥΛ. 2010</c:v>
                </c:pt>
                <c:pt idx="2">
                  <c:v>ΙΑΝ. 2011</c:v>
                </c:pt>
                <c:pt idx="3">
                  <c:v>ΙΟΥΛ. 2011</c:v>
                </c:pt>
                <c:pt idx="4">
                  <c:v>ΙΑΝ. 2012</c:v>
                </c:pt>
                <c:pt idx="5">
                  <c:v>ΙΟΥΛ. 2012</c:v>
                </c:pt>
                <c:pt idx="6">
                  <c:v>ΙΑΝ. 2013</c:v>
                </c:pt>
                <c:pt idx="7">
                  <c:v>ΙΟΥΛ. 2013</c:v>
                </c:pt>
                <c:pt idx="8">
                  <c:v>ΦΕΒΡ. 2014</c:v>
                </c:pt>
                <c:pt idx="9">
                  <c:v>ΙΟΥΛ. 2014</c:v>
                </c:pt>
                <c:pt idx="10">
                  <c:v>ΦΕΒΡ. 2015</c:v>
                </c:pt>
                <c:pt idx="11">
                  <c:v>ΙΟΥΛ. 2015</c:v>
                </c:pt>
                <c:pt idx="12">
                  <c:v>ΦΕΒΡ. 2016</c:v>
                </c:pt>
                <c:pt idx="13">
                  <c:v>ΙΟΥΛ. 2016</c:v>
                </c:pt>
                <c:pt idx="14">
                  <c:v>ΦΕΒΡ. 2017</c:v>
                </c:pt>
                <c:pt idx="15">
                  <c:v>ΙΟΥΛ. 2017</c:v>
                </c:pt>
                <c:pt idx="16">
                  <c:v>ΦΕΒΡ. 2018</c:v>
                </c:pt>
                <c:pt idx="17">
                  <c:v>ΙΟΥΛ. 2018</c:v>
                </c:pt>
                <c:pt idx="18">
                  <c:v>ΦΕΒΡ. 2019</c:v>
                </c:pt>
                <c:pt idx="19">
                  <c:v>ΙΟΥΛ. 2019</c:v>
                </c:pt>
              </c:strCache>
            </c:strRef>
          </c:cat>
          <c:val>
            <c:numRef>
              <c:f>Φύλλο1!$B$2:$B$21</c:f>
              <c:numCache>
                <c:formatCode>General</c:formatCode>
                <c:ptCount val="20"/>
                <c:pt idx="0">
                  <c:v>2.2000000000000002</c:v>
                </c:pt>
                <c:pt idx="1">
                  <c:v>2.9</c:v>
                </c:pt>
                <c:pt idx="2">
                  <c:v>3</c:v>
                </c:pt>
                <c:pt idx="3">
                  <c:v>2.9</c:v>
                </c:pt>
                <c:pt idx="4">
                  <c:v>2.9</c:v>
                </c:pt>
                <c:pt idx="5">
                  <c:v>2.8</c:v>
                </c:pt>
                <c:pt idx="6">
                  <c:v>3.6</c:v>
                </c:pt>
                <c:pt idx="7">
                  <c:v>4.7</c:v>
                </c:pt>
                <c:pt idx="8">
                  <c:v>7.1</c:v>
                </c:pt>
                <c:pt idx="9">
                  <c:v>7.6</c:v>
                </c:pt>
                <c:pt idx="10">
                  <c:v>12</c:v>
                </c:pt>
                <c:pt idx="11">
                  <c:v>5.4</c:v>
                </c:pt>
                <c:pt idx="12">
                  <c:v>7</c:v>
                </c:pt>
                <c:pt idx="13">
                  <c:v>5.7</c:v>
                </c:pt>
                <c:pt idx="14">
                  <c:v>8</c:v>
                </c:pt>
                <c:pt idx="15">
                  <c:v>8.3000000000000007</c:v>
                </c:pt>
                <c:pt idx="16" formatCode="0.0">
                  <c:v>10.119047619047619</c:v>
                </c:pt>
                <c:pt idx="17">
                  <c:v>11.7</c:v>
                </c:pt>
                <c:pt idx="18">
                  <c:v>15.5</c:v>
                </c:pt>
                <c:pt idx="19" formatCode="0.0">
                  <c:v>14.640198511166252</c:v>
                </c:pt>
              </c:numCache>
            </c:numRef>
          </c:val>
          <c:smooth val="0"/>
          <c:extLst xmlns:c16r2="http://schemas.microsoft.com/office/drawing/2015/06/chart">
            <c:ext xmlns:c16="http://schemas.microsoft.com/office/drawing/2014/chart" uri="{C3380CC4-5D6E-409C-BE32-E72D297353CC}">
              <c16:uniqueId val="{00000012-192E-4772-9B2F-661482E72552}"/>
            </c:ext>
          </c:extLst>
        </c:ser>
        <c:ser>
          <c:idx val="1"/>
          <c:order val="1"/>
          <c:tx>
            <c:strRef>
              <c:f>Φύλλο1!$C$1</c:f>
              <c:strCache>
                <c:ptCount val="1"/>
                <c:pt idx="0">
                  <c:v>Μείωση </c:v>
                </c:pt>
              </c:strCache>
            </c:strRef>
          </c:tx>
          <c:spPr>
            <a:ln>
              <a:solidFill>
                <a:schemeClr val="accent2">
                  <a:lumMod val="75000"/>
                </a:schemeClr>
              </a:solidFill>
            </a:ln>
          </c:spPr>
          <c:marker>
            <c:spPr>
              <a:solidFill>
                <a:schemeClr val="accent2">
                  <a:lumMod val="75000"/>
                </a:schemeClr>
              </a:solidFill>
              <a:ln>
                <a:solidFill>
                  <a:schemeClr val="accent2">
                    <a:lumMod val="75000"/>
                  </a:schemeClr>
                </a:solidFill>
              </a:ln>
            </c:spPr>
          </c:marker>
          <c:dLbls>
            <c:dLbl>
              <c:idx val="0"/>
              <c:layout>
                <c:manualLayout>
                  <c:x val="-2.6128784044571168E-2"/>
                  <c:y val="-4.479220121926574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192E-4772-9B2F-661482E72552}"/>
                </c:ext>
              </c:extLst>
            </c:dLbl>
            <c:dLbl>
              <c:idx val="1"/>
              <c:layout>
                <c:manualLayout>
                  <c:x val="-3.4294029058499674E-2"/>
                  <c:y val="-4.199268864306083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192E-4772-9B2F-661482E72552}"/>
                </c:ext>
              </c:extLst>
            </c:dLbl>
            <c:dLbl>
              <c:idx val="2"/>
              <c:layout>
                <c:manualLayout>
                  <c:x val="-3.2660980055714002E-2"/>
                  <c:y val="-4.479220121926560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192E-4772-9B2F-661482E72552}"/>
                </c:ext>
              </c:extLst>
            </c:dLbl>
            <c:dLbl>
              <c:idx val="3"/>
              <c:layout>
                <c:manualLayout>
                  <c:x val="-4.0826225069642494E-2"/>
                  <c:y val="-4.199268864306083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6-192E-4772-9B2F-661482E72552}"/>
                </c:ext>
              </c:extLst>
            </c:dLbl>
            <c:dLbl>
              <c:idx val="4"/>
              <c:layout>
                <c:manualLayout>
                  <c:x val="-3.1027931052928281E-2"/>
                  <c:y val="-2.799512576204064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7-192E-4772-9B2F-661482E72552}"/>
                </c:ext>
              </c:extLst>
            </c:dLbl>
            <c:dLbl>
              <c:idx val="5"/>
              <c:layout>
                <c:manualLayout>
                  <c:x val="-2.9394882050142637E-2"/>
                  <c:y val="-4.479220121926589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8-192E-4772-9B2F-661482E72552}"/>
                </c:ext>
              </c:extLst>
            </c:dLbl>
            <c:dLbl>
              <c:idx val="6"/>
              <c:layout>
                <c:manualLayout>
                  <c:x val="-3.7948982026027658E-2"/>
                  <c:y val="-2.480193172980785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9-192E-4772-9B2F-661482E72552}"/>
                </c:ext>
              </c:extLst>
            </c:dLbl>
            <c:dLbl>
              <c:idx val="7"/>
              <c:layout>
                <c:manualLayout>
                  <c:x val="-3.3205359272774092E-2"/>
                  <c:y val="-3.858078269081213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A-192E-4772-9B2F-661482E72552}"/>
                </c:ext>
              </c:extLst>
            </c:dLbl>
            <c:dLbl>
              <c:idx val="8"/>
              <c:layout>
                <c:manualLayout>
                  <c:x val="-2.688052893510277E-2"/>
                  <c:y val="-3.582501249861149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B-192E-4772-9B2F-661482E72552}"/>
                </c:ext>
              </c:extLst>
            </c:dLbl>
            <c:dLbl>
              <c:idx val="9"/>
              <c:layout>
                <c:manualLayout>
                  <c:x val="-2.2136906181849582E-2"/>
                  <c:y val="-2.755770192200867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C-192E-4772-9B2F-661482E72552}"/>
                </c:ext>
              </c:extLst>
            </c:dLbl>
            <c:dLbl>
              <c:idx val="10"/>
              <c:layout>
                <c:manualLayout>
                  <c:x val="-3.1421200714692968E-2"/>
                  <c:y val="-4.882324673799615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D-192E-4772-9B2F-661482E72552}"/>
                </c:ext>
              </c:extLst>
            </c:dLbl>
            <c:dLbl>
              <c:idx val="11"/>
              <c:layout>
                <c:manualLayout>
                  <c:x val="-3.0042944103938266E-2"/>
                  <c:y val="-3.306924230641061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E-192E-4772-9B2F-661482E72552}"/>
                </c:ext>
              </c:extLst>
            </c:dLbl>
            <c:dLbl>
              <c:idx val="12"/>
              <c:layout>
                <c:manualLayout>
                  <c:x val="-2.5299321350684835E-2"/>
                  <c:y val="-3.582501249861161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F-192E-4772-9B2F-661482E72552}"/>
                </c:ext>
              </c:extLst>
            </c:dLbl>
            <c:dLbl>
              <c:idx val="13"/>
              <c:layout>
                <c:manualLayout>
                  <c:x val="-1.897449101301385E-2"/>
                  <c:y val="-3.858078269081203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0-192E-4772-9B2F-661482E72552}"/>
                </c:ext>
              </c:extLst>
            </c:dLbl>
            <c:dLbl>
              <c:idx val="14"/>
              <c:layout>
                <c:manualLayout>
                  <c:x val="-2.6410716365298247E-2"/>
                  <c:y val="-3.43752368372616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1-192E-4772-9B2F-661482E72552}"/>
                </c:ext>
              </c:extLst>
            </c:dLbl>
            <c:dLbl>
              <c:idx val="15"/>
              <c:layout>
                <c:manualLayout>
                  <c:x val="-2.6410716365298247E-2"/>
                  <c:y val="-2.908673886229834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2-192E-4772-9B2F-661482E72552}"/>
                </c:ext>
              </c:extLst>
            </c:dLbl>
            <c:dLbl>
              <c:idx val="16"/>
              <c:layout>
                <c:manualLayout>
                  <c:x val="-3.8839288772497448E-2"/>
                  <c:y val="-2.908673886229834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3-192E-4772-9B2F-661482E72552}"/>
                </c:ext>
              </c:extLst>
            </c:dLbl>
            <c:dLbl>
              <c:idx val="17"/>
              <c:layout>
                <c:manualLayout>
                  <c:x val="-2.7964287916198271E-2"/>
                  <c:y val="-3.966373481222501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4-192E-4772-9B2F-661482E72552}"/>
                </c:ext>
              </c:extLst>
            </c:dLbl>
            <c:dLbl>
              <c:idx val="18"/>
              <c:layout>
                <c:manualLayout>
                  <c:x val="-2.2703610267323503E-2"/>
                  <c:y val="-2.379824088733510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5128-471E-83BA-D1CF6A3AA79F}"/>
                </c:ext>
              </c:extLst>
            </c:dLbl>
            <c:dLbl>
              <c:idx val="19"/>
              <c:layout>
                <c:manualLayout>
                  <c:x val="-1.3622166160394146E-2"/>
                  <c:y val="-2.908673886229834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43E5-44B7-A144-82B09F1A8C04}"/>
                </c:ext>
              </c:extLst>
            </c:dLbl>
            <c:spPr>
              <a:noFill/>
              <a:ln>
                <a:noFill/>
              </a:ln>
              <a:effectLst/>
            </c:spPr>
            <c:txPr>
              <a:bodyPr/>
              <a:lstStyle/>
              <a:p>
                <a:pPr>
                  <a:defRPr sz="800">
                    <a:latin typeface="Calibri" panose="020F0502020204030204" pitchFamily="34" charset="0"/>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Φύλλο1!$A$2:$A$21</c:f>
              <c:strCache>
                <c:ptCount val="20"/>
                <c:pt idx="0">
                  <c:v>ΦΕΒΡ. 2010</c:v>
                </c:pt>
                <c:pt idx="1">
                  <c:v>ΙΟΥΛ. 2010</c:v>
                </c:pt>
                <c:pt idx="2">
                  <c:v>ΙΑΝ. 2011</c:v>
                </c:pt>
                <c:pt idx="3">
                  <c:v>ΙΟΥΛ. 2011</c:v>
                </c:pt>
                <c:pt idx="4">
                  <c:v>ΙΑΝ. 2012</c:v>
                </c:pt>
                <c:pt idx="5">
                  <c:v>ΙΟΥΛ. 2012</c:v>
                </c:pt>
                <c:pt idx="6">
                  <c:v>ΙΑΝ. 2013</c:v>
                </c:pt>
                <c:pt idx="7">
                  <c:v>ΙΟΥΛ. 2013</c:v>
                </c:pt>
                <c:pt idx="8">
                  <c:v>ΦΕΒΡ. 2014</c:v>
                </c:pt>
                <c:pt idx="9">
                  <c:v>ΙΟΥΛ. 2014</c:v>
                </c:pt>
                <c:pt idx="10">
                  <c:v>ΦΕΒΡ. 2015</c:v>
                </c:pt>
                <c:pt idx="11">
                  <c:v>ΙΟΥΛ. 2015</c:v>
                </c:pt>
                <c:pt idx="12">
                  <c:v>ΦΕΒΡ. 2016</c:v>
                </c:pt>
                <c:pt idx="13">
                  <c:v>ΙΟΥΛ. 2016</c:v>
                </c:pt>
                <c:pt idx="14">
                  <c:v>ΦΕΒΡ. 2017</c:v>
                </c:pt>
                <c:pt idx="15">
                  <c:v>ΙΟΥΛ. 2017</c:v>
                </c:pt>
                <c:pt idx="16">
                  <c:v>ΦΕΒΡ. 2018</c:v>
                </c:pt>
                <c:pt idx="17">
                  <c:v>ΙΟΥΛ. 2018</c:v>
                </c:pt>
                <c:pt idx="18">
                  <c:v>ΦΕΒΡ. 2019</c:v>
                </c:pt>
                <c:pt idx="19">
                  <c:v>ΙΟΥΛ. 2019</c:v>
                </c:pt>
              </c:strCache>
            </c:strRef>
          </c:cat>
          <c:val>
            <c:numRef>
              <c:f>Φύλλο1!$C$2:$C$21</c:f>
              <c:numCache>
                <c:formatCode>General</c:formatCode>
                <c:ptCount val="20"/>
                <c:pt idx="0">
                  <c:v>74.7</c:v>
                </c:pt>
                <c:pt idx="1">
                  <c:v>79</c:v>
                </c:pt>
                <c:pt idx="2">
                  <c:v>84.3</c:v>
                </c:pt>
                <c:pt idx="3">
                  <c:v>82.6</c:v>
                </c:pt>
                <c:pt idx="4">
                  <c:v>85.9</c:v>
                </c:pt>
                <c:pt idx="5">
                  <c:v>86.5</c:v>
                </c:pt>
                <c:pt idx="6">
                  <c:v>85</c:v>
                </c:pt>
                <c:pt idx="7">
                  <c:v>81.7</c:v>
                </c:pt>
                <c:pt idx="8">
                  <c:v>76.3</c:v>
                </c:pt>
                <c:pt idx="9">
                  <c:v>72.8</c:v>
                </c:pt>
                <c:pt idx="10">
                  <c:v>62.4</c:v>
                </c:pt>
                <c:pt idx="11">
                  <c:v>81.7</c:v>
                </c:pt>
                <c:pt idx="12">
                  <c:v>74.599999999999994</c:v>
                </c:pt>
                <c:pt idx="13">
                  <c:v>75.8</c:v>
                </c:pt>
                <c:pt idx="14">
                  <c:v>70.099999999999994</c:v>
                </c:pt>
                <c:pt idx="15">
                  <c:v>65.099999999999994</c:v>
                </c:pt>
                <c:pt idx="16" formatCode="0.0">
                  <c:v>58.134920634920633</c:v>
                </c:pt>
                <c:pt idx="17">
                  <c:v>53.2</c:v>
                </c:pt>
                <c:pt idx="18">
                  <c:v>48.4</c:v>
                </c:pt>
                <c:pt idx="19" formatCode="0.0">
                  <c:v>46.401985111662533</c:v>
                </c:pt>
              </c:numCache>
            </c:numRef>
          </c:val>
          <c:smooth val="0"/>
          <c:extLst xmlns:c16r2="http://schemas.microsoft.com/office/drawing/2015/06/chart">
            <c:ext xmlns:c16="http://schemas.microsoft.com/office/drawing/2014/chart" uri="{C3380CC4-5D6E-409C-BE32-E72D297353CC}">
              <c16:uniqueId val="{00000025-192E-4772-9B2F-661482E72552}"/>
            </c:ext>
          </c:extLst>
        </c:ser>
        <c:ser>
          <c:idx val="2"/>
          <c:order val="2"/>
          <c:tx>
            <c:strRef>
              <c:f>Φύλλο1!$D$1</c:f>
              <c:strCache>
                <c:ptCount val="1"/>
                <c:pt idx="0">
                  <c:v>Σταθεροποίηση</c:v>
                </c:pt>
              </c:strCache>
            </c:strRef>
          </c:tx>
          <c:spPr>
            <a:ln>
              <a:solidFill>
                <a:schemeClr val="accent1">
                  <a:lumMod val="75000"/>
                </a:schemeClr>
              </a:solidFill>
            </a:ln>
          </c:spPr>
          <c:marker>
            <c:spPr>
              <a:solidFill>
                <a:schemeClr val="accent1">
                  <a:lumMod val="75000"/>
                </a:schemeClr>
              </a:solidFill>
              <a:ln>
                <a:solidFill>
                  <a:schemeClr val="accent1">
                    <a:lumMod val="75000"/>
                  </a:schemeClr>
                </a:solidFill>
              </a:ln>
            </c:spPr>
          </c:marker>
          <c:dLbls>
            <c:dLbl>
              <c:idx val="0"/>
              <c:layout>
                <c:manualLayout>
                  <c:x val="-2.6128784044571168E-2"/>
                  <c:y val="-3.359415091444862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6-192E-4772-9B2F-661482E72552}"/>
                </c:ext>
              </c:extLst>
            </c:dLbl>
            <c:dLbl>
              <c:idx val="1"/>
              <c:layout>
                <c:manualLayout>
                  <c:x val="-3.4294029058499674E-2"/>
                  <c:y val="-3.079463833824459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7-192E-4772-9B2F-661482E72552}"/>
                </c:ext>
              </c:extLst>
            </c:dLbl>
            <c:dLbl>
              <c:idx val="2"/>
              <c:layout>
                <c:manualLayout>
                  <c:x val="-1.6727928763728923E-2"/>
                  <c:y val="-3.017358765872785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8-192E-4772-9B2F-661482E72552}"/>
                </c:ext>
              </c:extLst>
            </c:dLbl>
            <c:dLbl>
              <c:idx val="3"/>
              <c:layout>
                <c:manualLayout>
                  <c:x val="-2.1309129911855001E-2"/>
                  <c:y val="-3.31282756415113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9-192E-4772-9B2F-661482E72552}"/>
                </c:ext>
              </c:extLst>
            </c:dLbl>
            <c:dLbl>
              <c:idx val="4"/>
              <c:layout>
                <c:manualLayout>
                  <c:x val="-2.5290554578558843E-2"/>
                  <c:y val="-3.266251304426764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A-192E-4772-9B2F-661482E72552}"/>
                </c:ext>
              </c:extLst>
            </c:dLbl>
            <c:dLbl>
              <c:idx val="5"/>
              <c:layout>
                <c:manualLayout>
                  <c:x val="-2.9394919356180375E-2"/>
                  <c:y val="-2.037300150992861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B-192E-4772-9B2F-661482E72552}"/>
                </c:ext>
              </c:extLst>
            </c:dLbl>
            <c:dLbl>
              <c:idx val="6"/>
              <c:layout>
                <c:manualLayout>
                  <c:x val="-3.2704516073471482E-2"/>
                  <c:y val="-2.520510627382468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C-192E-4772-9B2F-661482E72552}"/>
                </c:ext>
              </c:extLst>
            </c:dLbl>
            <c:dLbl>
              <c:idx val="7"/>
              <c:layout>
                <c:manualLayout>
                  <c:x val="-2.3718113766267142E-2"/>
                  <c:y val="-2.755770192200867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D-192E-4772-9B2F-661482E72552}"/>
                </c:ext>
              </c:extLst>
            </c:dLbl>
            <c:dLbl>
              <c:idx val="8"/>
              <c:layout>
                <c:manualLayout>
                  <c:x val="-2.688052893510277E-2"/>
                  <c:y val="-4.133655288301302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E-192E-4772-9B2F-661482E72552}"/>
                </c:ext>
              </c:extLst>
            </c:dLbl>
            <c:dLbl>
              <c:idx val="9"/>
              <c:layout>
                <c:manualLayout>
                  <c:x val="-2.2136906181849582E-2"/>
                  <c:y val="-2.204616153760699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F-192E-4772-9B2F-661482E72552}"/>
                </c:ext>
              </c:extLst>
            </c:dLbl>
            <c:dLbl>
              <c:idx val="10"/>
              <c:layout>
                <c:manualLayout>
                  <c:x val="-1.7393283428595897E-2"/>
                  <c:y val="-1.929039134540621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30-192E-4772-9B2F-661482E72552}"/>
                </c:ext>
              </c:extLst>
            </c:dLbl>
            <c:dLbl>
              <c:idx val="11"/>
              <c:layout>
                <c:manualLayout>
                  <c:x val="-2.6677635907028895E-2"/>
                  <c:y val="-4.055590858477295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31-192E-4772-9B2F-661482E72552}"/>
                </c:ext>
              </c:extLst>
            </c:dLbl>
            <c:dLbl>
              <c:idx val="12"/>
              <c:layout>
                <c:manualLayout>
                  <c:x val="-1.7393283428595786E-2"/>
                  <c:y val="-2.480193172980785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32-192E-4772-9B2F-661482E72552}"/>
                </c:ext>
              </c:extLst>
            </c:dLbl>
            <c:dLbl>
              <c:idx val="13"/>
              <c:layout>
                <c:manualLayout>
                  <c:x val="-2.9849614273872806E-2"/>
                  <c:y val="-2.789245443771607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33-192E-4772-9B2F-661482E72552}"/>
                </c:ext>
              </c:extLst>
            </c:dLbl>
            <c:dLbl>
              <c:idx val="14"/>
              <c:layout>
                <c:manualLayout>
                  <c:x val="-2.3303573263498339E-2"/>
                  <c:y val="-3.701948582474345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34-192E-4772-9B2F-661482E72552}"/>
                </c:ext>
              </c:extLst>
            </c:dLbl>
            <c:dLbl>
              <c:idx val="15"/>
              <c:layout>
                <c:manualLayout>
                  <c:x val="-2.485714481439847E-2"/>
                  <c:y val="-3.43752368372616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35-192E-4772-9B2F-661482E72552}"/>
                </c:ext>
              </c:extLst>
            </c:dLbl>
            <c:dLbl>
              <c:idx val="16"/>
              <c:layout>
                <c:manualLayout>
                  <c:x val="-3.8839288772497448E-2"/>
                  <c:y val="-3.43752368372616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36-192E-4772-9B2F-661482E72552}"/>
                </c:ext>
              </c:extLst>
            </c:dLbl>
            <c:dLbl>
              <c:idx val="17"/>
              <c:layout>
                <c:manualLayout>
                  <c:x val="-2.6410716365298247E-2"/>
                  <c:y val="-3.701948582474336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37-192E-4772-9B2F-661482E72552}"/>
                </c:ext>
              </c:extLst>
            </c:dLbl>
            <c:dLbl>
              <c:idx val="18"/>
              <c:layout>
                <c:manualLayout>
                  <c:x val="-3.0271480356431187E-2"/>
                  <c:y val="-2.115399189985333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5128-471E-83BA-D1CF6A3AA79F}"/>
                </c:ext>
              </c:extLst>
            </c:dLbl>
            <c:spPr>
              <a:noFill/>
              <a:ln>
                <a:noFill/>
              </a:ln>
              <a:effectLst/>
            </c:spPr>
            <c:txPr>
              <a:bodyPr/>
              <a:lstStyle/>
              <a:p>
                <a:pPr algn="ctr">
                  <a:defRPr lang="el-GR" sz="800" b="0" i="0" u="none" strike="noStrike" kern="1200" baseline="0">
                    <a:solidFill>
                      <a:prstClr val="black"/>
                    </a:solidFill>
                    <a:latin typeface="Calibri" panose="020F0502020204030204" pitchFamily="34" charset="0"/>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Φύλλο1!$A$2:$A$21</c:f>
              <c:strCache>
                <c:ptCount val="20"/>
                <c:pt idx="0">
                  <c:v>ΦΕΒΡ. 2010</c:v>
                </c:pt>
                <c:pt idx="1">
                  <c:v>ΙΟΥΛ. 2010</c:v>
                </c:pt>
                <c:pt idx="2">
                  <c:v>ΙΑΝ. 2011</c:v>
                </c:pt>
                <c:pt idx="3">
                  <c:v>ΙΟΥΛ. 2011</c:v>
                </c:pt>
                <c:pt idx="4">
                  <c:v>ΙΑΝ. 2012</c:v>
                </c:pt>
                <c:pt idx="5">
                  <c:v>ΙΟΥΛ. 2012</c:v>
                </c:pt>
                <c:pt idx="6">
                  <c:v>ΙΑΝ. 2013</c:v>
                </c:pt>
                <c:pt idx="7">
                  <c:v>ΙΟΥΛ. 2013</c:v>
                </c:pt>
                <c:pt idx="8">
                  <c:v>ΦΕΒΡ. 2014</c:v>
                </c:pt>
                <c:pt idx="9">
                  <c:v>ΙΟΥΛ. 2014</c:v>
                </c:pt>
                <c:pt idx="10">
                  <c:v>ΦΕΒΡ. 2015</c:v>
                </c:pt>
                <c:pt idx="11">
                  <c:v>ΙΟΥΛ. 2015</c:v>
                </c:pt>
                <c:pt idx="12">
                  <c:v>ΦΕΒΡ. 2016</c:v>
                </c:pt>
                <c:pt idx="13">
                  <c:v>ΙΟΥΛ. 2016</c:v>
                </c:pt>
                <c:pt idx="14">
                  <c:v>ΦΕΒΡ. 2017</c:v>
                </c:pt>
                <c:pt idx="15">
                  <c:v>ΙΟΥΛ. 2017</c:v>
                </c:pt>
                <c:pt idx="16">
                  <c:v>ΦΕΒΡ. 2018</c:v>
                </c:pt>
                <c:pt idx="17">
                  <c:v>ΙΟΥΛ. 2018</c:v>
                </c:pt>
                <c:pt idx="18">
                  <c:v>ΦΕΒΡ. 2019</c:v>
                </c:pt>
                <c:pt idx="19">
                  <c:v>ΙΟΥΛ. 2019</c:v>
                </c:pt>
              </c:strCache>
            </c:strRef>
          </c:cat>
          <c:val>
            <c:numRef>
              <c:f>Φύλλο1!$D$2:$D$21</c:f>
              <c:numCache>
                <c:formatCode>General</c:formatCode>
                <c:ptCount val="20"/>
                <c:pt idx="0">
                  <c:v>23</c:v>
                </c:pt>
                <c:pt idx="1">
                  <c:v>17.2</c:v>
                </c:pt>
                <c:pt idx="2">
                  <c:v>12.5</c:v>
                </c:pt>
                <c:pt idx="3">
                  <c:v>13.7</c:v>
                </c:pt>
                <c:pt idx="4">
                  <c:v>10.9</c:v>
                </c:pt>
                <c:pt idx="5">
                  <c:v>9.8000000000000007</c:v>
                </c:pt>
                <c:pt idx="6">
                  <c:v>11.2</c:v>
                </c:pt>
                <c:pt idx="7">
                  <c:v>13.6</c:v>
                </c:pt>
                <c:pt idx="8">
                  <c:v>16.100000000000001</c:v>
                </c:pt>
                <c:pt idx="9">
                  <c:v>19</c:v>
                </c:pt>
                <c:pt idx="10">
                  <c:v>25</c:v>
                </c:pt>
                <c:pt idx="11">
                  <c:v>12.3</c:v>
                </c:pt>
                <c:pt idx="12">
                  <c:v>18</c:v>
                </c:pt>
                <c:pt idx="13">
                  <c:v>17.8</c:v>
                </c:pt>
                <c:pt idx="14">
                  <c:v>21.2</c:v>
                </c:pt>
                <c:pt idx="15">
                  <c:v>25.8</c:v>
                </c:pt>
                <c:pt idx="16" formatCode="0.0">
                  <c:v>31.25</c:v>
                </c:pt>
                <c:pt idx="17">
                  <c:v>34</c:v>
                </c:pt>
                <c:pt idx="18">
                  <c:v>35.6</c:v>
                </c:pt>
                <c:pt idx="19" formatCode="0.0">
                  <c:v>37.841191066997517</c:v>
                </c:pt>
              </c:numCache>
            </c:numRef>
          </c:val>
          <c:smooth val="0"/>
          <c:extLst xmlns:c16r2="http://schemas.microsoft.com/office/drawing/2015/06/chart">
            <c:ext xmlns:c16="http://schemas.microsoft.com/office/drawing/2014/chart" uri="{C3380CC4-5D6E-409C-BE32-E72D297353CC}">
              <c16:uniqueId val="{00000038-192E-4772-9B2F-661482E72552}"/>
            </c:ext>
          </c:extLst>
        </c:ser>
        <c:dLbls>
          <c:showLegendKey val="0"/>
          <c:showVal val="0"/>
          <c:showCatName val="0"/>
          <c:showSerName val="0"/>
          <c:showPercent val="0"/>
          <c:showBubbleSize val="0"/>
        </c:dLbls>
        <c:marker val="1"/>
        <c:smooth val="0"/>
        <c:axId val="347353856"/>
        <c:axId val="347355392"/>
      </c:lineChart>
      <c:catAx>
        <c:axId val="347353856"/>
        <c:scaling>
          <c:orientation val="minMax"/>
        </c:scaling>
        <c:delete val="0"/>
        <c:axPos val="b"/>
        <c:numFmt formatCode="General" sourceLinked="0"/>
        <c:majorTickMark val="out"/>
        <c:minorTickMark val="none"/>
        <c:tickLblPos val="nextTo"/>
        <c:txPr>
          <a:bodyPr/>
          <a:lstStyle/>
          <a:p>
            <a:pPr>
              <a:defRPr sz="800">
                <a:latin typeface="Calibri" panose="020F0502020204030204" pitchFamily="34" charset="0"/>
              </a:defRPr>
            </a:pPr>
            <a:endParaRPr lang="el-GR"/>
          </a:p>
        </c:txPr>
        <c:crossAx val="347355392"/>
        <c:crosses val="autoZero"/>
        <c:auto val="1"/>
        <c:lblAlgn val="ctr"/>
        <c:lblOffset val="100"/>
        <c:tickLblSkip val="1"/>
        <c:noMultiLvlLbl val="0"/>
      </c:catAx>
      <c:valAx>
        <c:axId val="347355392"/>
        <c:scaling>
          <c:orientation val="minMax"/>
        </c:scaling>
        <c:delete val="0"/>
        <c:axPos val="l"/>
        <c:majorGridlines/>
        <c:numFmt formatCode="General" sourceLinked="1"/>
        <c:majorTickMark val="out"/>
        <c:minorTickMark val="none"/>
        <c:tickLblPos val="nextTo"/>
        <c:txPr>
          <a:bodyPr/>
          <a:lstStyle/>
          <a:p>
            <a:pPr>
              <a:defRPr sz="1200">
                <a:latin typeface="Calibri" panose="020F0502020204030204" pitchFamily="34" charset="0"/>
              </a:defRPr>
            </a:pPr>
            <a:endParaRPr lang="el-GR"/>
          </a:p>
        </c:txPr>
        <c:crossAx val="347353856"/>
        <c:crosses val="autoZero"/>
        <c:crossBetween val="between"/>
      </c:valAx>
    </c:plotArea>
    <c:legend>
      <c:legendPos val="r"/>
      <c:layout>
        <c:manualLayout>
          <c:xMode val="edge"/>
          <c:yMode val="edge"/>
          <c:x val="0.22571265150334249"/>
          <c:y val="2.1170173800133352E-2"/>
          <c:w val="0.65644467898882763"/>
          <c:h val="5.423521240190253E-2"/>
        </c:manualLayout>
      </c:layout>
      <c:overlay val="0"/>
      <c:txPr>
        <a:bodyPr/>
        <a:lstStyle/>
        <a:p>
          <a:pPr>
            <a:defRPr sz="1200">
              <a:latin typeface="Calibri" panose="020F0502020204030204" pitchFamily="34" charset="0"/>
            </a:defRPr>
          </a:pPr>
          <a:endParaRPr lang="el-GR"/>
        </a:p>
      </c:txPr>
    </c:legend>
    <c:plotVisOnly val="1"/>
    <c:dispBlanksAs val="gap"/>
    <c:showDLblsOverMax val="0"/>
  </c:chart>
  <c:txPr>
    <a:bodyPr/>
    <a:lstStyle/>
    <a:p>
      <a:pPr>
        <a:defRPr sz="1800"/>
      </a:pPr>
      <a:endParaRPr lang="el-GR"/>
    </a:p>
  </c:txPr>
  <c:externalData r:id="rId2">
    <c:autoUpdate val="0"/>
  </c:externalData>
</c:chartSpace>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Ρίγες">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Ρίγες">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Ρίγες">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Ρίγες">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Ρίγες">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Ρίγες">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Ρίγες">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Ρίγες">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Ρίγες">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Ρίγες">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Ρίγες">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Ρίγες">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Ρίγες">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Ρίγες">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Ρίγες">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Ρίγες">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Ρίγες">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Ρίγες">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Ρίγες">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6BA1060-A651-46C0-BB9F-19ED0C77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37</Pages>
  <Words>9154</Words>
  <Characters>49437</Characters>
  <Application>Microsoft Office Word</Application>
  <DocSecurity>0</DocSecurity>
  <Lines>411</Lines>
  <Paragraphs>116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Γιώργος Θανόπουλος</dc:creator>
  <cp:lastModifiedBy>Γιώργος Θανόπουλος</cp:lastModifiedBy>
  <cp:revision>7</cp:revision>
  <cp:lastPrinted>2019-08-27T09:37:00Z</cp:lastPrinted>
  <dcterms:created xsi:type="dcterms:W3CDTF">2019-08-26T07:49:00Z</dcterms:created>
  <dcterms:modified xsi:type="dcterms:W3CDTF">2019-08-27T14:03:00Z</dcterms:modified>
</cp:coreProperties>
</file>