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8513" w14:textId="77777777" w:rsidR="00C80938" w:rsidRDefault="00C80938" w:rsidP="00761263">
      <w:pPr>
        <w:spacing w:after="0" w:line="360" w:lineRule="auto"/>
        <w:jc w:val="center"/>
        <w:rPr>
          <w:rFonts w:ascii="Times New Roman" w:hAnsi="Times New Roman" w:cs="Times New Roman"/>
          <w:b/>
          <w:sz w:val="24"/>
          <w:szCs w:val="24"/>
        </w:rPr>
      </w:pPr>
      <w:bookmarkStart w:id="0" w:name="_Hlk68251589"/>
      <w:bookmarkStart w:id="1" w:name="_GoBack"/>
      <w:bookmarkEnd w:id="1"/>
    </w:p>
    <w:p w14:paraId="4CC5B5B1" w14:textId="50047006" w:rsidR="00A9257F" w:rsidRPr="00E36734" w:rsidRDefault="00A9257F" w:rsidP="00761263">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 xml:space="preserve">ΕΞΑΜΗΝΑΙΟ ΔΕΛΤΙΟ ΟΙΚΟΝΟΜΙΚΟΥ ΚΛΙΜΑΤΟΣ </w:t>
      </w:r>
      <w:r w:rsidR="00C80938" w:rsidRPr="00E36734">
        <w:rPr>
          <w:rFonts w:ascii="Times New Roman" w:hAnsi="Times New Roman" w:cs="Times New Roman"/>
          <w:b/>
          <w:sz w:val="24"/>
          <w:szCs w:val="24"/>
        </w:rPr>
        <w:t>ΜΙΚΡΩΝ &amp; ΠΟΛΥ ΜΙΚΡΩΝ ΕΠΙΧΕΙΡΗΣΕΩΝ</w:t>
      </w:r>
    </w:p>
    <w:p w14:paraId="57D81F7E" w14:textId="684CF523" w:rsidR="00A9257F" w:rsidRPr="00E36734" w:rsidRDefault="0026178A" w:rsidP="0026178A">
      <w:pPr>
        <w:spacing w:after="0" w:line="360" w:lineRule="auto"/>
        <w:jc w:val="right"/>
        <w:rPr>
          <w:rFonts w:ascii="Times New Roman" w:hAnsi="Times New Roman" w:cs="Times New Roman"/>
          <w:sz w:val="24"/>
          <w:szCs w:val="24"/>
        </w:rPr>
      </w:pPr>
      <w:r w:rsidRPr="00E36734">
        <w:rPr>
          <w:rFonts w:ascii="Times New Roman" w:hAnsi="Times New Roman" w:cs="Times New Roman"/>
          <w:sz w:val="24"/>
          <w:szCs w:val="24"/>
        </w:rPr>
        <w:t>Απρίλιος 2021</w:t>
      </w:r>
    </w:p>
    <w:p w14:paraId="52CD0C8B" w14:textId="4717022A" w:rsidR="00A9257F" w:rsidRPr="00E36734" w:rsidRDefault="00A9257F" w:rsidP="00761263">
      <w:pPr>
        <w:spacing w:after="0" w:line="360" w:lineRule="auto"/>
        <w:jc w:val="both"/>
        <w:rPr>
          <w:rFonts w:ascii="Times New Roman" w:hAnsi="Times New Roman" w:cs="Times New Roman"/>
          <w:b/>
          <w:sz w:val="24"/>
          <w:szCs w:val="24"/>
        </w:rPr>
      </w:pPr>
      <w:r w:rsidRPr="00E36734">
        <w:rPr>
          <w:rFonts w:ascii="Times New Roman" w:hAnsi="Times New Roman" w:cs="Times New Roman"/>
          <w:b/>
          <w:sz w:val="24"/>
          <w:szCs w:val="24"/>
        </w:rPr>
        <w:t xml:space="preserve">Θέμα: Έρευνα ΙΜΕ ΓΣΕΒΕΕ </w:t>
      </w:r>
      <w:r w:rsidR="00ED2A9D" w:rsidRPr="00E36734">
        <w:rPr>
          <w:rFonts w:ascii="Times New Roman" w:hAnsi="Times New Roman" w:cs="Times New Roman"/>
          <w:b/>
          <w:sz w:val="24"/>
          <w:szCs w:val="24"/>
        </w:rPr>
        <w:t xml:space="preserve">- </w:t>
      </w:r>
      <w:r w:rsidRPr="00E36734">
        <w:rPr>
          <w:rFonts w:ascii="Times New Roman" w:hAnsi="Times New Roman" w:cs="Times New Roman"/>
          <w:b/>
          <w:sz w:val="24"/>
          <w:szCs w:val="24"/>
        </w:rPr>
        <w:t xml:space="preserve">Εξαμηνία αποτύπωση οικονομικού κλίματος στις μικρές </w:t>
      </w:r>
      <w:r w:rsidR="00C80938" w:rsidRPr="00E36734">
        <w:rPr>
          <w:rFonts w:ascii="Times New Roman" w:hAnsi="Times New Roman" w:cs="Times New Roman"/>
          <w:b/>
          <w:sz w:val="24"/>
          <w:szCs w:val="24"/>
        </w:rPr>
        <w:t xml:space="preserve">και πολύ μικρές </w:t>
      </w:r>
      <w:r w:rsidRPr="00E36734">
        <w:rPr>
          <w:rFonts w:ascii="Times New Roman" w:hAnsi="Times New Roman" w:cs="Times New Roman"/>
          <w:b/>
          <w:sz w:val="24"/>
          <w:szCs w:val="24"/>
        </w:rPr>
        <w:t>επιχειρήσεις (0-49 άτομα προσωπικό οι οποίες αποτελούν το 99,6% των ελληνικών επιχειρήσεων)</w:t>
      </w:r>
      <w:r w:rsidR="00C80938" w:rsidRPr="00E36734">
        <w:rPr>
          <w:rStyle w:val="ae"/>
          <w:rFonts w:ascii="Times New Roman" w:hAnsi="Times New Roman" w:cs="Times New Roman"/>
          <w:b/>
          <w:sz w:val="24"/>
          <w:szCs w:val="24"/>
        </w:rPr>
        <w:footnoteReference w:id="1"/>
      </w:r>
      <w:r w:rsidRPr="00E36734">
        <w:rPr>
          <w:rFonts w:ascii="Times New Roman" w:hAnsi="Times New Roman" w:cs="Times New Roman"/>
          <w:b/>
          <w:sz w:val="24"/>
          <w:szCs w:val="24"/>
        </w:rPr>
        <w:t xml:space="preserve"> </w:t>
      </w:r>
    </w:p>
    <w:p w14:paraId="226466D6" w14:textId="77777777" w:rsidR="008C7FF0" w:rsidRPr="00E36734" w:rsidRDefault="008C7FF0" w:rsidP="00761263">
      <w:pPr>
        <w:spacing w:after="0" w:line="360" w:lineRule="auto"/>
        <w:jc w:val="both"/>
        <w:rPr>
          <w:rFonts w:ascii="Times New Roman" w:hAnsi="Times New Roman" w:cs="Times New Roman"/>
          <w:b/>
          <w:sz w:val="24"/>
          <w:szCs w:val="24"/>
        </w:rPr>
      </w:pPr>
    </w:p>
    <w:p w14:paraId="115F5FD1" w14:textId="4C5853D1" w:rsidR="00AC066D" w:rsidRPr="00E36734" w:rsidRDefault="002452C5" w:rsidP="00761263">
      <w:pPr>
        <w:spacing w:after="0" w:line="360" w:lineRule="auto"/>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 xml:space="preserve">Η εξαμηνιαία έρευνα οικονομικού κλίματος </w:t>
      </w:r>
      <w:r w:rsidR="00F45994" w:rsidRPr="00E36734">
        <w:rPr>
          <w:rFonts w:ascii="Times New Roman" w:eastAsia="Times New Roman" w:hAnsi="Times New Roman" w:cs="Times New Roman"/>
          <w:color w:val="222222"/>
          <w:sz w:val="24"/>
          <w:szCs w:val="24"/>
          <w:lang w:eastAsia="el-GR"/>
        </w:rPr>
        <w:t>για τις</w:t>
      </w:r>
      <w:r w:rsidRPr="00E36734">
        <w:rPr>
          <w:rFonts w:ascii="Times New Roman" w:eastAsia="Times New Roman" w:hAnsi="Times New Roman" w:cs="Times New Roman"/>
          <w:color w:val="222222"/>
          <w:sz w:val="24"/>
          <w:szCs w:val="24"/>
          <w:lang w:eastAsia="el-GR"/>
        </w:rPr>
        <w:t xml:space="preserve"> μικρές και πολύ μικρές ε</w:t>
      </w:r>
      <w:r w:rsidR="00923D8D" w:rsidRPr="00E36734">
        <w:rPr>
          <w:rFonts w:ascii="Times New Roman" w:eastAsia="Times New Roman" w:hAnsi="Times New Roman" w:cs="Times New Roman"/>
          <w:color w:val="222222"/>
          <w:sz w:val="24"/>
          <w:szCs w:val="24"/>
          <w:lang w:eastAsia="el-GR"/>
        </w:rPr>
        <w:t>πιχειρήσεις του ΙΜΕ ΓΣΕΒΕΕ, η</w:t>
      </w:r>
      <w:r w:rsidR="0026178A" w:rsidRPr="00E36734">
        <w:rPr>
          <w:rFonts w:ascii="Times New Roman" w:eastAsia="Times New Roman" w:hAnsi="Times New Roman" w:cs="Times New Roman"/>
          <w:color w:val="222222"/>
          <w:sz w:val="24"/>
          <w:szCs w:val="24"/>
          <w:lang w:eastAsia="el-GR"/>
        </w:rPr>
        <w:t xml:space="preserve"> οποία διενεργείται συστηματικά από τον Μάιο του 2009</w:t>
      </w:r>
      <w:r w:rsidRPr="00E36734">
        <w:rPr>
          <w:rFonts w:ascii="Times New Roman" w:eastAsia="Times New Roman" w:hAnsi="Times New Roman" w:cs="Times New Roman"/>
          <w:color w:val="222222"/>
          <w:sz w:val="24"/>
          <w:szCs w:val="24"/>
          <w:lang w:eastAsia="el-GR"/>
        </w:rPr>
        <w:t xml:space="preserve">, </w:t>
      </w:r>
      <w:r w:rsidR="00AC066D" w:rsidRPr="00E36734">
        <w:rPr>
          <w:rFonts w:ascii="Times New Roman" w:eastAsia="Times New Roman" w:hAnsi="Times New Roman" w:cs="Times New Roman"/>
          <w:color w:val="222222"/>
          <w:sz w:val="24"/>
          <w:szCs w:val="24"/>
          <w:lang w:eastAsia="el-GR"/>
        </w:rPr>
        <w:t>αποτελεί την δεύτερη που διεξάγεται υπό τις πρωτοφανείς συνθήκες που έχει διαμορφώσει η υγειονομική κρίση.</w:t>
      </w:r>
    </w:p>
    <w:p w14:paraId="09DA0284" w14:textId="33AD648B" w:rsidR="00AC066D"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Οι επιπτώσεις της υγειονομικής κρίσης, που στην οικονομία έχ</w:t>
      </w:r>
      <w:r w:rsidR="00F45994" w:rsidRPr="00E36734">
        <w:rPr>
          <w:rFonts w:ascii="Times New Roman" w:eastAsia="Times New Roman" w:hAnsi="Times New Roman" w:cs="Times New Roman"/>
          <w:bCs/>
          <w:sz w:val="24"/>
          <w:szCs w:val="24"/>
          <w:lang w:eastAsia="el-GR"/>
        </w:rPr>
        <w:t>ουν</w:t>
      </w:r>
      <w:r w:rsidRPr="00E36734">
        <w:rPr>
          <w:rFonts w:ascii="Times New Roman" w:eastAsia="Times New Roman" w:hAnsi="Times New Roman" w:cs="Times New Roman"/>
          <w:bCs/>
          <w:sz w:val="24"/>
          <w:szCs w:val="24"/>
          <w:lang w:eastAsia="el-GR"/>
        </w:rPr>
        <w:t xml:space="preserve"> εκδηλωθεί με την μορφή της βαθιάς και απότομης ύφεσης, όπως είναι επόμενο, έχουν επηρεάσει </w:t>
      </w:r>
      <w:r w:rsidR="00F45994" w:rsidRPr="00E36734">
        <w:rPr>
          <w:rFonts w:ascii="Times New Roman" w:eastAsia="Times New Roman" w:hAnsi="Times New Roman" w:cs="Times New Roman"/>
          <w:bCs/>
          <w:sz w:val="24"/>
          <w:szCs w:val="24"/>
          <w:lang w:eastAsia="el-GR"/>
        </w:rPr>
        <w:t>αρνητικά</w:t>
      </w:r>
      <w:r w:rsidRPr="00E36734">
        <w:rPr>
          <w:rFonts w:ascii="Times New Roman" w:eastAsia="Times New Roman" w:hAnsi="Times New Roman" w:cs="Times New Roman"/>
          <w:bCs/>
          <w:sz w:val="24"/>
          <w:szCs w:val="24"/>
          <w:lang w:eastAsia="el-GR"/>
        </w:rPr>
        <w:t xml:space="preserve"> την οικονομική κατάσταση των </w:t>
      </w:r>
      <w:r w:rsidR="00F45994" w:rsidRPr="00E36734">
        <w:rPr>
          <w:rFonts w:ascii="Times New Roman" w:eastAsia="Times New Roman" w:hAnsi="Times New Roman" w:cs="Times New Roman"/>
          <w:bCs/>
          <w:sz w:val="24"/>
          <w:szCs w:val="24"/>
          <w:lang w:eastAsia="el-GR"/>
        </w:rPr>
        <w:t>ΜμΕ</w:t>
      </w:r>
      <w:r w:rsidRPr="00E36734">
        <w:rPr>
          <w:rFonts w:ascii="Times New Roman" w:eastAsia="Times New Roman" w:hAnsi="Times New Roman" w:cs="Times New Roman"/>
          <w:bCs/>
          <w:sz w:val="24"/>
          <w:szCs w:val="24"/>
          <w:lang w:eastAsia="el-GR"/>
        </w:rPr>
        <w:t xml:space="preserve">. Αυτό άλλωστε αποτυπώθηκε και στην αντίστοιχη έρευνα του ΙΜΕ ΓΣΕΒΕΕ για το Α εξάμηνο του 2020 όπου καταγράφηκε σοβαρή πτώση όλων των βασικών δεικτών που προσδιορίζουν την κατάσταση που βρίσκονται οι μικρές και πολύ μικρές επιχειρήσεις. </w:t>
      </w:r>
    </w:p>
    <w:p w14:paraId="0B9F3967" w14:textId="77777777" w:rsidR="00AC066D"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Τα ευρήματα της έρευνας για το Β εξάμηνο του 2020 καταδεικνύουν πως η κατάσταση παραμένει δυσμενής. </w:t>
      </w:r>
    </w:p>
    <w:p w14:paraId="7669E7C7" w14:textId="77777777" w:rsidR="00AC066D"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Ο γενικός δείκτης οικονομικού κλίματος το Β εξάμηνο του 2020 διατηρείται σε εξαιρετικά χαμηλό επίπεδο καθώς διαμορφώνεται στις 20,1 μονάδες. Δεν έχει μεταβληθεί, δηλαδή, σε σχέση με το Α εξάμηνο του 2020. </w:t>
      </w:r>
    </w:p>
    <w:p w14:paraId="57EDA272" w14:textId="65904C07" w:rsidR="00AC066D"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Με μια πρώτη ανάγνωση της έρευνας φαίνεται πως η κατάσταση στις μικρές και πολύ μικρές επιχειρήσεις δεν έχει επιδεινωθεί περεταίρω</w:t>
      </w:r>
      <w:r w:rsidR="008C7FF0" w:rsidRPr="00E36734">
        <w:rPr>
          <w:rFonts w:ascii="Times New Roman" w:eastAsia="Times New Roman" w:hAnsi="Times New Roman" w:cs="Times New Roman"/>
          <w:bCs/>
          <w:sz w:val="24"/>
          <w:szCs w:val="24"/>
          <w:lang w:eastAsia="el-GR"/>
        </w:rPr>
        <w:t>, καθώς</w:t>
      </w:r>
      <w:r w:rsidRPr="00E36734">
        <w:rPr>
          <w:rFonts w:ascii="Times New Roman" w:eastAsia="Times New Roman" w:hAnsi="Times New Roman" w:cs="Times New Roman"/>
          <w:bCs/>
          <w:sz w:val="24"/>
          <w:szCs w:val="24"/>
          <w:lang w:eastAsia="el-GR"/>
        </w:rPr>
        <w:t xml:space="preserve"> σε όλους σχεδόν τους επιμέρους δείκτες</w:t>
      </w:r>
      <w:r w:rsidR="00CB7FC5" w:rsidRPr="00E36734">
        <w:rPr>
          <w:rFonts w:ascii="Times New Roman" w:eastAsia="Times New Roman" w:hAnsi="Times New Roman" w:cs="Times New Roman"/>
          <w:bCs/>
          <w:sz w:val="24"/>
          <w:szCs w:val="24"/>
          <w:lang w:eastAsia="el-GR"/>
        </w:rPr>
        <w:t xml:space="preserve"> αποτίμησης</w:t>
      </w:r>
      <w:r w:rsidRPr="00E36734">
        <w:rPr>
          <w:rFonts w:ascii="Times New Roman" w:eastAsia="Times New Roman" w:hAnsi="Times New Roman" w:cs="Times New Roman"/>
          <w:bCs/>
          <w:sz w:val="24"/>
          <w:szCs w:val="24"/>
          <w:lang w:eastAsia="el-GR"/>
        </w:rPr>
        <w:t xml:space="preserve"> καταγράφεται και μια μικρή υποχώρηση της επιδείνωσης. </w:t>
      </w:r>
    </w:p>
    <w:p w14:paraId="525D0125" w14:textId="271BDAAF" w:rsidR="00E22D6F"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Η προσεκτικότερη</w:t>
      </w:r>
      <w:r w:rsidR="008C7FF0"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ωστόσο</w:t>
      </w:r>
      <w:r w:rsidR="008C7FF0"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εξέταση των στοιχείων της έρευνας αναδεικνύει σοβαρές διαφοροποιήσεις μεταξύ των επιχειρήσεων. Η πανδημική κρίση δεν επηρεάζει με την ίδια ένταση όλες τις επιχειρήσεις. </w:t>
      </w:r>
      <w:r w:rsidR="00E22D6F" w:rsidRPr="00E36734">
        <w:rPr>
          <w:rFonts w:ascii="Times New Roman" w:eastAsia="Times New Roman" w:hAnsi="Times New Roman" w:cs="Times New Roman"/>
          <w:bCs/>
          <w:sz w:val="24"/>
          <w:szCs w:val="24"/>
          <w:lang w:eastAsia="el-GR"/>
        </w:rPr>
        <w:lastRenderedPageBreak/>
        <w:t xml:space="preserve">Ιδιαίτερα οι επιχειρήσεις που έχουν αναστείλει τη λειτουργία τους με κρατική εντολή βρίσκονται σε εξαιρετικά δυσμενή θέση. </w:t>
      </w:r>
    </w:p>
    <w:p w14:paraId="69221ECA" w14:textId="1E3C02D0" w:rsidR="00CB7FC5"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Στην έρευνα καταγράφεται μια μικρή αύξηση τόσο των επιχειρήσεων που επωφελούνται από την κρίση όσο και των επιχειρήσεων που έχουν καταφέρει να απορροφήσουν τις δυσμενείς της επιπτώσεις. Για την πλειοψηφία όμως των μικρών και πολύ μικρών επιχειρήσεων </w:t>
      </w:r>
      <w:r w:rsidR="008C7FF0" w:rsidRPr="00E36734">
        <w:rPr>
          <w:rFonts w:ascii="Times New Roman" w:eastAsia="Times New Roman" w:hAnsi="Times New Roman" w:cs="Times New Roman"/>
          <w:bCs/>
          <w:sz w:val="24"/>
          <w:szCs w:val="24"/>
          <w:lang w:eastAsia="el-GR"/>
        </w:rPr>
        <w:t>φαίνεται</w:t>
      </w:r>
      <w:r w:rsidRPr="00E36734">
        <w:rPr>
          <w:rFonts w:ascii="Times New Roman" w:eastAsia="Times New Roman" w:hAnsi="Times New Roman" w:cs="Times New Roman"/>
          <w:bCs/>
          <w:sz w:val="24"/>
          <w:szCs w:val="24"/>
          <w:lang w:eastAsia="el-GR"/>
        </w:rPr>
        <w:t xml:space="preserve"> πως η κατάσταση </w:t>
      </w:r>
      <w:r w:rsidR="00CB7FC5" w:rsidRPr="00E36734">
        <w:rPr>
          <w:rFonts w:ascii="Times New Roman" w:eastAsia="Times New Roman" w:hAnsi="Times New Roman" w:cs="Times New Roman"/>
          <w:bCs/>
          <w:sz w:val="24"/>
          <w:szCs w:val="24"/>
          <w:lang w:eastAsia="el-GR"/>
        </w:rPr>
        <w:t xml:space="preserve">έχει επιδεινωθεί </w:t>
      </w:r>
      <w:r w:rsidR="00F45994" w:rsidRPr="00E36734">
        <w:rPr>
          <w:rFonts w:ascii="Times New Roman" w:eastAsia="Times New Roman" w:hAnsi="Times New Roman" w:cs="Times New Roman"/>
          <w:bCs/>
          <w:sz w:val="24"/>
          <w:szCs w:val="24"/>
          <w:lang w:eastAsia="el-GR"/>
        </w:rPr>
        <w:t>περαιτέρω</w:t>
      </w:r>
      <w:r w:rsidR="00CB7FC5" w:rsidRPr="00E36734">
        <w:rPr>
          <w:rFonts w:ascii="Times New Roman" w:eastAsia="Times New Roman" w:hAnsi="Times New Roman" w:cs="Times New Roman"/>
          <w:bCs/>
          <w:sz w:val="24"/>
          <w:szCs w:val="24"/>
          <w:lang w:eastAsia="el-GR"/>
        </w:rPr>
        <w:t>, ναρκοθετώντας τις προοπτικές τους για το μέλλον</w:t>
      </w:r>
      <w:r w:rsidRPr="00E36734">
        <w:rPr>
          <w:rFonts w:ascii="Times New Roman" w:eastAsia="Times New Roman" w:hAnsi="Times New Roman" w:cs="Times New Roman"/>
          <w:bCs/>
          <w:sz w:val="24"/>
          <w:szCs w:val="24"/>
          <w:lang w:eastAsia="el-GR"/>
        </w:rPr>
        <w:t xml:space="preserve">. </w:t>
      </w:r>
    </w:p>
    <w:p w14:paraId="527DD1A5" w14:textId="0D1A9E60" w:rsidR="00AC066D"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Είναι μάλιστα τόσο υψηλά τα ποσοστά των επιχειρήσεων που αντιμετωπίζουν πολλαπλές δυσκολίες που φαίνεται πως πλέον και υγιείς μικρές και πολύ μικρές επιχειρήσεις αντιμετωπίζουν σοβαρά προβλήματα βιωσιμότητας. Το παρατεταμένο διάστημα που διατηρείται το απαγορευτικό για τη λειτουργία μεγάλου μέρους της οικονομικής δραστηριότητας, σε συνδυασμό με την αβεβαιότητα που υπάρχει για τον χρόνο που τελικά θα απαιτηθεί για να επιστρέψουμε σε κάποιας μορφής κανονικότητα, φαίνεται πως επιβαρύνει εκθετικά την κατάσταση της πλειοψηφίας των μικρών και πολύ μικρών επιχειρήσεων. </w:t>
      </w:r>
    </w:p>
    <w:p w14:paraId="2B5969E7" w14:textId="4C85EC62" w:rsidR="00EB026B" w:rsidRPr="00E36734" w:rsidRDefault="00AC066D"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Δεν θα πρέπει, επίσης, να λησμονούμε ότι οι υφιστάμενες μικρές και πολύ μικρές επιχειρήσεις έχουν περάσει μέσα από τη μέγγενη της πρόσφατης χρηματοπιστωτικής κρίσης. Η εκδήλωση της </w:t>
      </w:r>
      <w:r w:rsidR="008C7FF0" w:rsidRPr="00E36734">
        <w:rPr>
          <w:rFonts w:ascii="Times New Roman" w:eastAsia="Times New Roman" w:hAnsi="Times New Roman" w:cs="Times New Roman"/>
          <w:bCs/>
          <w:sz w:val="24"/>
          <w:szCs w:val="24"/>
          <w:lang w:eastAsia="el-GR"/>
        </w:rPr>
        <w:t>πανδημίας</w:t>
      </w:r>
      <w:r w:rsidRPr="00E36734">
        <w:rPr>
          <w:rFonts w:ascii="Times New Roman" w:eastAsia="Times New Roman" w:hAnsi="Times New Roman" w:cs="Times New Roman"/>
          <w:bCs/>
          <w:sz w:val="24"/>
          <w:szCs w:val="24"/>
          <w:lang w:eastAsia="el-GR"/>
        </w:rPr>
        <w:t xml:space="preserve"> αναδεικνύει πως τα χρόνια διαρθρωτικά προβλήματα που αντιμετωπίζουν οι επιχειρήσεις αυτές, τα οποία εντάθηκαν κατά την προηγούμενη δεκαετή οικονομική κρίση, έχουν αποδυναμώσει τις δυνατότητες τους να ανταπεξέλθουν στις επιπτώσεις της νέας υφεσιακής περιόδου.  Τα ίδια κεφάλαια που διέθεταν</w:t>
      </w:r>
      <w:r w:rsidR="008C7FF0"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κυρίως για επενδύσεις μικρής κλίμακας, φαίνεται πως έχουν αναλωθεί για την απορρόφηση των επιπτώσεων της υγειονομικής κρίσης</w:t>
      </w:r>
      <w:r w:rsidR="009F3A39" w:rsidRPr="00E36734">
        <w:rPr>
          <w:rFonts w:ascii="Times New Roman" w:eastAsia="Times New Roman" w:hAnsi="Times New Roman" w:cs="Times New Roman"/>
          <w:bCs/>
          <w:sz w:val="24"/>
          <w:szCs w:val="24"/>
          <w:lang w:eastAsia="el-GR"/>
        </w:rPr>
        <w:t>,</w:t>
      </w:r>
      <w:r w:rsidR="009F3A39" w:rsidRPr="00E36734">
        <w:t xml:space="preserve"> </w:t>
      </w:r>
      <w:r w:rsidR="009F3A39" w:rsidRPr="00E36734">
        <w:rPr>
          <w:rFonts w:ascii="Times New Roman" w:eastAsia="Times New Roman" w:hAnsi="Times New Roman" w:cs="Times New Roman"/>
          <w:bCs/>
          <w:sz w:val="24"/>
          <w:szCs w:val="24"/>
          <w:lang w:eastAsia="el-GR"/>
        </w:rPr>
        <w:t>παρά μάλιστα τα μέτρα που έχουν ληφθεί για τη στήριξη τους</w:t>
      </w:r>
      <w:r w:rsidR="00EB026B"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w:t>
      </w:r>
    </w:p>
    <w:p w14:paraId="49F43295" w14:textId="559C34BF" w:rsidR="008C7FF0" w:rsidRPr="00E36734" w:rsidRDefault="009A65CF" w:rsidP="008C7FF0">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Άλλωστε,</w:t>
      </w:r>
      <w:r w:rsidR="008C7FF0" w:rsidRPr="00E36734">
        <w:rPr>
          <w:rFonts w:ascii="Times New Roman" w:eastAsia="Times New Roman" w:hAnsi="Times New Roman" w:cs="Times New Roman"/>
          <w:bCs/>
          <w:sz w:val="24"/>
          <w:szCs w:val="24"/>
          <w:lang w:eastAsia="el-GR"/>
        </w:rPr>
        <w:t xml:space="preserve"> </w:t>
      </w:r>
      <w:r w:rsidRPr="00E36734">
        <w:rPr>
          <w:rFonts w:ascii="Times New Roman" w:eastAsia="Times New Roman" w:hAnsi="Times New Roman" w:cs="Times New Roman"/>
          <w:bCs/>
          <w:sz w:val="24"/>
          <w:szCs w:val="24"/>
          <w:lang w:eastAsia="el-GR"/>
        </w:rPr>
        <w:t>ένα μεγάλο μέρος των μέτρων που</w:t>
      </w:r>
      <w:r w:rsidR="008C7FF0" w:rsidRPr="00E36734">
        <w:rPr>
          <w:rFonts w:ascii="Times New Roman" w:eastAsia="Times New Roman" w:hAnsi="Times New Roman" w:cs="Times New Roman"/>
          <w:bCs/>
          <w:sz w:val="24"/>
          <w:szCs w:val="24"/>
          <w:lang w:eastAsia="el-GR"/>
        </w:rPr>
        <w:t xml:space="preserve"> έχουν ληφθεί για την στήριξη </w:t>
      </w:r>
      <w:r w:rsidRPr="00E36734">
        <w:rPr>
          <w:rFonts w:ascii="Times New Roman" w:eastAsia="Times New Roman" w:hAnsi="Times New Roman" w:cs="Times New Roman"/>
          <w:bCs/>
          <w:sz w:val="24"/>
          <w:szCs w:val="24"/>
          <w:lang w:eastAsia="el-GR"/>
        </w:rPr>
        <w:t>των επιχειρήσεων</w:t>
      </w:r>
      <w:r w:rsidR="008C7FF0" w:rsidRPr="00E36734">
        <w:rPr>
          <w:rFonts w:ascii="Times New Roman" w:eastAsia="Times New Roman" w:hAnsi="Times New Roman" w:cs="Times New Roman"/>
          <w:bCs/>
          <w:sz w:val="24"/>
          <w:szCs w:val="24"/>
          <w:lang w:eastAsia="el-GR"/>
        </w:rPr>
        <w:t xml:space="preserve"> αφορούν άμεσες ή έμμεσες μορφές ενίσχυσης της ρευστότητας τους, που πάρα την πρόσκαιρη και σε αρκετές περιπτώσεις μη επαρκή ανακούφιση που προσφέρουν, αποτελούν υποχρεώσεις που συσσωρεύονται σε ένα μάλιστα περιβάλλον έντονης αβεβαιότητας για το μέλλον. </w:t>
      </w:r>
    </w:p>
    <w:p w14:paraId="3705C8CA" w14:textId="3E6C76CB" w:rsidR="009A65CF" w:rsidRPr="00E36734" w:rsidRDefault="009A65CF" w:rsidP="00AC066D">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Αυτό φαίνεται και από την σημαντική αύξηση που καταγράφεται</w:t>
      </w:r>
      <w:r w:rsidR="005E5285" w:rsidRPr="00E36734">
        <w:rPr>
          <w:rFonts w:ascii="Times New Roman" w:eastAsia="Times New Roman" w:hAnsi="Times New Roman" w:cs="Times New Roman"/>
          <w:bCs/>
          <w:sz w:val="24"/>
          <w:szCs w:val="24"/>
          <w:lang w:eastAsia="el-GR"/>
        </w:rPr>
        <w:t xml:space="preserve"> στα ποσοστά των επιχειρήσεων που δηλώνουν πως δεν θα μπορέσουν να ανταποκριθούν στις μελλοντικές τους υποχρεώσεις. </w:t>
      </w:r>
      <w:r w:rsidRPr="00E36734">
        <w:rPr>
          <w:rFonts w:ascii="Times New Roman" w:eastAsia="Times New Roman" w:hAnsi="Times New Roman" w:cs="Times New Roman"/>
          <w:bCs/>
          <w:sz w:val="24"/>
          <w:szCs w:val="24"/>
          <w:lang w:eastAsia="el-GR"/>
        </w:rPr>
        <w:t xml:space="preserve"> </w:t>
      </w:r>
    </w:p>
    <w:p w14:paraId="72E3C85B" w14:textId="2C55602E" w:rsidR="005E5285" w:rsidRPr="00E36734" w:rsidRDefault="005E5285" w:rsidP="00F113F1">
      <w:pPr>
        <w:shd w:val="clear" w:color="auto" w:fill="FFFFFF"/>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Προκειμένου, λοιπόν, να αποφευχθούν τα χειρότερα και παράλληλα να επιβεβαιωθούν οι αισιόδοξες προβλέψεις,</w:t>
      </w:r>
      <w:r w:rsidR="00F113F1" w:rsidRPr="00E36734">
        <w:rPr>
          <w:rFonts w:ascii="Times New Roman" w:hAnsi="Times New Roman" w:cs="Times New Roman"/>
          <w:sz w:val="24"/>
          <w:szCs w:val="24"/>
        </w:rPr>
        <w:t xml:space="preserve"> </w:t>
      </w:r>
      <w:r w:rsidRPr="00E36734">
        <w:rPr>
          <w:rFonts w:ascii="Times New Roman" w:hAnsi="Times New Roman" w:cs="Times New Roman"/>
          <w:sz w:val="24"/>
          <w:szCs w:val="24"/>
        </w:rPr>
        <w:t>α</w:t>
      </w:r>
      <w:r w:rsidR="009A65CF" w:rsidRPr="00E36734">
        <w:rPr>
          <w:rFonts w:ascii="Times New Roman" w:hAnsi="Times New Roman" w:cs="Times New Roman"/>
          <w:sz w:val="24"/>
          <w:szCs w:val="24"/>
        </w:rPr>
        <w:t>παιτείται</w:t>
      </w:r>
      <w:r w:rsidRPr="00E36734">
        <w:rPr>
          <w:rFonts w:ascii="Times New Roman" w:hAnsi="Times New Roman" w:cs="Times New Roman"/>
          <w:sz w:val="24"/>
          <w:szCs w:val="24"/>
        </w:rPr>
        <w:t xml:space="preserve"> </w:t>
      </w:r>
      <w:r w:rsidR="009A65CF" w:rsidRPr="00E36734">
        <w:rPr>
          <w:rFonts w:ascii="Times New Roman" w:hAnsi="Times New Roman" w:cs="Times New Roman"/>
          <w:sz w:val="24"/>
          <w:szCs w:val="24"/>
        </w:rPr>
        <w:t>ένα συνεκτικό σχέδιο υποστήριξης των επιχειρήσεων</w:t>
      </w:r>
      <w:r w:rsidRPr="00E36734">
        <w:rPr>
          <w:rFonts w:ascii="Times New Roman" w:hAnsi="Times New Roman" w:cs="Times New Roman"/>
          <w:sz w:val="24"/>
          <w:szCs w:val="24"/>
        </w:rPr>
        <w:t xml:space="preserve">, ιδιαίτερα εκείνων που πλήττονται δυσανάλογα από τις επιπτώσεις της υγειονομικής κρίσης, </w:t>
      </w:r>
      <w:r w:rsidR="009A65CF" w:rsidRPr="00E36734">
        <w:rPr>
          <w:rFonts w:ascii="Times New Roman" w:hAnsi="Times New Roman" w:cs="Times New Roman"/>
          <w:sz w:val="24"/>
          <w:szCs w:val="24"/>
        </w:rPr>
        <w:t xml:space="preserve">για το διάστημα της σταδιακής επανεκκίνησης της ελληνικής οικονομίας. </w:t>
      </w:r>
      <w:r w:rsidRPr="00E36734">
        <w:rPr>
          <w:rFonts w:ascii="Times New Roman" w:hAnsi="Times New Roman" w:cs="Times New Roman"/>
          <w:sz w:val="24"/>
          <w:szCs w:val="24"/>
        </w:rPr>
        <w:t>Τ</w:t>
      </w:r>
      <w:r w:rsidR="009A65CF" w:rsidRPr="00E36734">
        <w:rPr>
          <w:rFonts w:ascii="Times New Roman" w:hAnsi="Times New Roman" w:cs="Times New Roman"/>
          <w:sz w:val="24"/>
          <w:szCs w:val="24"/>
        </w:rPr>
        <w:t xml:space="preserve">ο σχέδιο δράσης για την επόμενη μέρα θα πρέπει να εξυπηρετεί </w:t>
      </w:r>
      <w:r w:rsidR="00F113F1" w:rsidRPr="00E36734">
        <w:rPr>
          <w:rFonts w:ascii="Times New Roman" w:hAnsi="Times New Roman" w:cs="Times New Roman"/>
          <w:sz w:val="24"/>
          <w:szCs w:val="24"/>
        </w:rPr>
        <w:t>2 δέσμες μέτρων</w:t>
      </w:r>
      <w:r w:rsidR="009A65CF" w:rsidRPr="00E36734">
        <w:rPr>
          <w:rFonts w:ascii="Times New Roman" w:hAnsi="Times New Roman" w:cs="Times New Roman"/>
          <w:sz w:val="24"/>
          <w:szCs w:val="24"/>
        </w:rPr>
        <w:t xml:space="preserve">: </w:t>
      </w:r>
    </w:p>
    <w:p w14:paraId="4DFEE473" w14:textId="2A8BF8EE" w:rsidR="00F113F1" w:rsidRPr="00E36734" w:rsidRDefault="00F113F1" w:rsidP="00F113F1">
      <w:pPr>
        <w:shd w:val="clear" w:color="auto" w:fill="FFFFFF"/>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u w:val="single"/>
        </w:rPr>
        <w:t>1</w:t>
      </w:r>
      <w:r w:rsidRPr="00E36734">
        <w:rPr>
          <w:rFonts w:ascii="Times New Roman" w:hAnsi="Times New Roman" w:cs="Times New Roman"/>
          <w:sz w:val="24"/>
          <w:szCs w:val="24"/>
          <w:u w:val="single"/>
          <w:vertAlign w:val="superscript"/>
        </w:rPr>
        <w:t>η</w:t>
      </w:r>
      <w:r w:rsidRPr="00E36734">
        <w:rPr>
          <w:rFonts w:ascii="Times New Roman" w:hAnsi="Times New Roman" w:cs="Times New Roman"/>
          <w:sz w:val="24"/>
          <w:szCs w:val="24"/>
          <w:u w:val="single"/>
        </w:rPr>
        <w:t xml:space="preserve"> δέσμη</w:t>
      </w:r>
      <w:r w:rsidRPr="00E36734">
        <w:rPr>
          <w:rFonts w:ascii="Times New Roman" w:hAnsi="Times New Roman" w:cs="Times New Roman"/>
          <w:sz w:val="24"/>
          <w:szCs w:val="24"/>
        </w:rPr>
        <w:t xml:space="preserve">: </w:t>
      </w:r>
      <w:r w:rsidR="005E5285" w:rsidRPr="00E36734">
        <w:rPr>
          <w:rFonts w:ascii="Times New Roman" w:hAnsi="Times New Roman" w:cs="Times New Roman"/>
          <w:sz w:val="24"/>
          <w:szCs w:val="24"/>
        </w:rPr>
        <w:t>Ε</w:t>
      </w:r>
      <w:r w:rsidR="009A65CF" w:rsidRPr="00E36734">
        <w:rPr>
          <w:rFonts w:ascii="Times New Roman" w:hAnsi="Times New Roman" w:cs="Times New Roman"/>
          <w:sz w:val="24"/>
          <w:szCs w:val="24"/>
        </w:rPr>
        <w:t>παρκή ενίσχυση της ρευστότητας των επιχειρήσεων για να μπορέσουν να επανεκκινήσουν</w:t>
      </w:r>
      <w:r w:rsidR="005E5285" w:rsidRPr="00E36734">
        <w:rPr>
          <w:rFonts w:ascii="Times New Roman" w:hAnsi="Times New Roman" w:cs="Times New Roman"/>
          <w:sz w:val="24"/>
          <w:szCs w:val="24"/>
        </w:rPr>
        <w:t xml:space="preserve">. Ένα μέρος της χρηματοδότησης </w:t>
      </w:r>
      <w:r w:rsidR="00F45994" w:rsidRPr="00E36734">
        <w:rPr>
          <w:rFonts w:ascii="Times New Roman" w:hAnsi="Times New Roman" w:cs="Times New Roman"/>
          <w:sz w:val="24"/>
          <w:szCs w:val="24"/>
        </w:rPr>
        <w:t xml:space="preserve">αυτής </w:t>
      </w:r>
      <w:r w:rsidR="005E5285" w:rsidRPr="00E36734">
        <w:rPr>
          <w:rFonts w:ascii="Times New Roman" w:hAnsi="Times New Roman" w:cs="Times New Roman"/>
          <w:sz w:val="24"/>
          <w:szCs w:val="24"/>
        </w:rPr>
        <w:t xml:space="preserve">θα πρέπει να αφορά την κάλυψη των οφειλών που </w:t>
      </w:r>
      <w:r w:rsidRPr="00E36734">
        <w:rPr>
          <w:rFonts w:ascii="Times New Roman" w:hAnsi="Times New Roman" w:cs="Times New Roman"/>
          <w:sz w:val="24"/>
          <w:szCs w:val="24"/>
        </w:rPr>
        <w:t>δημιουργήθηκαν</w:t>
      </w:r>
      <w:r w:rsidR="005E5285" w:rsidRPr="00E36734">
        <w:rPr>
          <w:rFonts w:ascii="Times New Roman" w:hAnsi="Times New Roman" w:cs="Times New Roman"/>
          <w:sz w:val="24"/>
          <w:szCs w:val="24"/>
        </w:rPr>
        <w:t xml:space="preserve"> κατά την </w:t>
      </w:r>
      <w:r w:rsidRPr="00E36734">
        <w:rPr>
          <w:rFonts w:ascii="Times New Roman" w:hAnsi="Times New Roman" w:cs="Times New Roman"/>
          <w:sz w:val="24"/>
          <w:szCs w:val="24"/>
        </w:rPr>
        <w:t>διάρκεια</w:t>
      </w:r>
      <w:r w:rsidR="005E5285" w:rsidRPr="00E36734">
        <w:rPr>
          <w:rFonts w:ascii="Times New Roman" w:hAnsi="Times New Roman" w:cs="Times New Roman"/>
          <w:sz w:val="24"/>
          <w:szCs w:val="24"/>
        </w:rPr>
        <w:t xml:space="preserve"> της πανδημίας και να έχει τη μορφή της επιδότησης. </w:t>
      </w:r>
    </w:p>
    <w:p w14:paraId="461C130E" w14:textId="46E6200D" w:rsidR="009A65CF" w:rsidRPr="00E36734" w:rsidRDefault="00F113F1" w:rsidP="00F113F1">
      <w:pPr>
        <w:shd w:val="clear" w:color="auto" w:fill="FFFFFF"/>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u w:val="single"/>
        </w:rPr>
        <w:lastRenderedPageBreak/>
        <w:t>2</w:t>
      </w:r>
      <w:r w:rsidRPr="00E36734">
        <w:rPr>
          <w:rFonts w:ascii="Times New Roman" w:hAnsi="Times New Roman" w:cs="Times New Roman"/>
          <w:sz w:val="24"/>
          <w:szCs w:val="24"/>
          <w:u w:val="single"/>
          <w:vertAlign w:val="superscript"/>
        </w:rPr>
        <w:t>η</w:t>
      </w:r>
      <w:r w:rsidRPr="00E36734">
        <w:rPr>
          <w:rFonts w:ascii="Times New Roman" w:hAnsi="Times New Roman" w:cs="Times New Roman"/>
          <w:sz w:val="24"/>
          <w:szCs w:val="24"/>
          <w:u w:val="single"/>
        </w:rPr>
        <w:t xml:space="preserve"> δέσμη</w:t>
      </w:r>
      <w:r w:rsidRPr="00E36734">
        <w:rPr>
          <w:rFonts w:ascii="Times New Roman" w:hAnsi="Times New Roman" w:cs="Times New Roman"/>
          <w:sz w:val="24"/>
          <w:szCs w:val="24"/>
        </w:rPr>
        <w:t>: Π</w:t>
      </w:r>
      <w:r w:rsidR="009A65CF" w:rsidRPr="00E36734">
        <w:rPr>
          <w:rFonts w:ascii="Times New Roman" w:hAnsi="Times New Roman" w:cs="Times New Roman"/>
          <w:sz w:val="24"/>
          <w:szCs w:val="24"/>
        </w:rPr>
        <w:t xml:space="preserve">ρογράμματα επιδότησης του μη μισθολογικού ή/και του μισθολογικού κόστους για την </w:t>
      </w:r>
      <w:r w:rsidRPr="00E36734">
        <w:rPr>
          <w:rFonts w:ascii="Times New Roman" w:hAnsi="Times New Roman" w:cs="Times New Roman"/>
          <w:sz w:val="24"/>
          <w:szCs w:val="24"/>
        </w:rPr>
        <w:t>διατήρηση</w:t>
      </w:r>
      <w:r w:rsidR="009A65CF" w:rsidRPr="00E36734">
        <w:rPr>
          <w:rFonts w:ascii="Times New Roman" w:hAnsi="Times New Roman" w:cs="Times New Roman"/>
          <w:sz w:val="24"/>
          <w:szCs w:val="24"/>
        </w:rPr>
        <w:t xml:space="preserve"> των θέσεων εργασίας</w:t>
      </w:r>
      <w:r w:rsidRPr="00E36734">
        <w:rPr>
          <w:rFonts w:ascii="Times New Roman" w:hAnsi="Times New Roman" w:cs="Times New Roman"/>
          <w:sz w:val="24"/>
          <w:szCs w:val="24"/>
        </w:rPr>
        <w:t>.</w:t>
      </w:r>
    </w:p>
    <w:p w14:paraId="3E13E624" w14:textId="77777777" w:rsidR="009A65CF" w:rsidRPr="00E36734" w:rsidRDefault="009A65CF" w:rsidP="00F113F1">
      <w:pPr>
        <w:shd w:val="clear" w:color="auto" w:fill="FFFFFF"/>
        <w:spacing w:after="0" w:line="360" w:lineRule="auto"/>
        <w:jc w:val="both"/>
        <w:rPr>
          <w:rFonts w:ascii="Times New Roman" w:eastAsia="Times New Roman" w:hAnsi="Times New Roman" w:cs="Times New Roman"/>
          <w:sz w:val="24"/>
          <w:szCs w:val="24"/>
        </w:rPr>
      </w:pPr>
    </w:p>
    <w:p w14:paraId="7C510AA0" w14:textId="1A5E16EF" w:rsidR="00851D68" w:rsidRPr="00E36734" w:rsidRDefault="00143079" w:rsidP="00761263">
      <w:pPr>
        <w:spacing w:after="0" w:line="360" w:lineRule="auto"/>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Τα </w:t>
      </w:r>
      <w:r w:rsidR="00F45994" w:rsidRPr="00E36734">
        <w:rPr>
          <w:rFonts w:ascii="Times New Roman" w:eastAsia="Times New Roman" w:hAnsi="Times New Roman" w:cs="Times New Roman"/>
          <w:b/>
          <w:bCs/>
          <w:color w:val="222222"/>
          <w:sz w:val="24"/>
          <w:szCs w:val="24"/>
          <w:lang w:eastAsia="el-GR"/>
        </w:rPr>
        <w:t>σημαντικότερα</w:t>
      </w:r>
      <w:r w:rsidRPr="00E36734">
        <w:rPr>
          <w:rFonts w:ascii="Times New Roman" w:eastAsia="Times New Roman" w:hAnsi="Times New Roman" w:cs="Times New Roman"/>
          <w:b/>
          <w:bCs/>
          <w:color w:val="222222"/>
          <w:sz w:val="24"/>
          <w:szCs w:val="24"/>
          <w:lang w:eastAsia="el-GR"/>
        </w:rPr>
        <w:t xml:space="preserve"> ευρήματα της έρευνας</w:t>
      </w:r>
      <w:r w:rsidR="007A224C" w:rsidRPr="00E36734">
        <w:rPr>
          <w:rFonts w:ascii="Times New Roman" w:eastAsia="Times New Roman" w:hAnsi="Times New Roman" w:cs="Times New Roman"/>
          <w:b/>
          <w:bCs/>
          <w:color w:val="222222"/>
          <w:sz w:val="24"/>
          <w:szCs w:val="24"/>
          <w:lang w:eastAsia="el-GR"/>
        </w:rPr>
        <w:t xml:space="preserve"> κλίματος του ΙΜΕ ΓΣΕΒΕΕ</w:t>
      </w:r>
      <w:r w:rsidR="00F113F1" w:rsidRPr="00E36734">
        <w:rPr>
          <w:rFonts w:ascii="Times New Roman" w:eastAsia="Times New Roman" w:hAnsi="Times New Roman" w:cs="Times New Roman"/>
          <w:b/>
          <w:bCs/>
          <w:color w:val="222222"/>
          <w:sz w:val="24"/>
          <w:szCs w:val="24"/>
          <w:lang w:eastAsia="el-GR"/>
        </w:rPr>
        <w:t xml:space="preserve"> </w:t>
      </w:r>
      <w:r w:rsidR="007A224C" w:rsidRPr="00E36734">
        <w:rPr>
          <w:rFonts w:ascii="Times New Roman" w:eastAsia="Times New Roman" w:hAnsi="Times New Roman" w:cs="Times New Roman"/>
          <w:b/>
          <w:bCs/>
          <w:color w:val="222222"/>
          <w:sz w:val="24"/>
          <w:szCs w:val="24"/>
          <w:lang w:eastAsia="el-GR"/>
        </w:rPr>
        <w:t>είναι τα εξής:</w:t>
      </w:r>
    </w:p>
    <w:p w14:paraId="54FA9A77" w14:textId="77777777" w:rsidR="00A23BA0" w:rsidRPr="00E36734" w:rsidRDefault="00A23BA0" w:rsidP="00A9032A">
      <w:pPr>
        <w:spacing w:after="0" w:line="360" w:lineRule="auto"/>
        <w:jc w:val="both"/>
        <w:rPr>
          <w:rFonts w:ascii="Times New Roman" w:eastAsia="Times New Roman" w:hAnsi="Times New Roman" w:cs="Times New Roman"/>
          <w:b/>
          <w:color w:val="222222"/>
          <w:sz w:val="24"/>
          <w:szCs w:val="24"/>
          <w:u w:val="single"/>
          <w:lang w:eastAsia="el-GR"/>
        </w:rPr>
      </w:pPr>
    </w:p>
    <w:p w14:paraId="59D67B71" w14:textId="608485D3" w:rsidR="00A9032A" w:rsidRPr="00E36734" w:rsidRDefault="00460AC4" w:rsidP="00A9032A">
      <w:pPr>
        <w:spacing w:after="0" w:line="360" w:lineRule="auto"/>
        <w:jc w:val="both"/>
        <w:rPr>
          <w:rFonts w:ascii="Times New Roman" w:eastAsia="Times New Roman" w:hAnsi="Times New Roman" w:cs="Times New Roman"/>
          <w:b/>
          <w:color w:val="222222"/>
          <w:sz w:val="24"/>
          <w:szCs w:val="24"/>
          <w:u w:val="single"/>
          <w:lang w:eastAsia="el-GR"/>
        </w:rPr>
      </w:pPr>
      <w:r w:rsidRPr="00E36734">
        <w:rPr>
          <w:rFonts w:ascii="Times New Roman" w:eastAsia="Times New Roman" w:hAnsi="Times New Roman" w:cs="Times New Roman"/>
          <w:b/>
          <w:color w:val="222222"/>
          <w:sz w:val="24"/>
          <w:szCs w:val="24"/>
          <w:u w:val="single"/>
          <w:lang w:eastAsia="el-GR"/>
        </w:rPr>
        <w:t>Αποτίμηση εξαμήνου</w:t>
      </w:r>
      <w:r w:rsidR="00A62CBE" w:rsidRPr="00E36734">
        <w:rPr>
          <w:rFonts w:ascii="Times New Roman" w:eastAsia="Times New Roman" w:hAnsi="Times New Roman" w:cs="Times New Roman"/>
          <w:b/>
          <w:color w:val="222222"/>
          <w:sz w:val="24"/>
          <w:szCs w:val="24"/>
          <w:u w:val="single"/>
          <w:lang w:eastAsia="el-GR"/>
        </w:rPr>
        <w:t xml:space="preserve"> </w:t>
      </w:r>
    </w:p>
    <w:p w14:paraId="570ECEF6" w14:textId="77777777" w:rsidR="00A23BA0" w:rsidRPr="00E36734" w:rsidRDefault="00A23BA0" w:rsidP="00A9032A">
      <w:pPr>
        <w:spacing w:after="0" w:line="360" w:lineRule="auto"/>
        <w:jc w:val="both"/>
        <w:rPr>
          <w:rFonts w:ascii="Times New Roman" w:eastAsia="Times New Roman" w:hAnsi="Times New Roman" w:cs="Times New Roman"/>
          <w:b/>
          <w:color w:val="222222"/>
          <w:sz w:val="24"/>
          <w:szCs w:val="24"/>
          <w:u w:val="single"/>
          <w:lang w:eastAsia="el-GR"/>
        </w:rPr>
      </w:pPr>
    </w:p>
    <w:p w14:paraId="4C118925" w14:textId="3806DE81" w:rsidR="00460AC4" w:rsidRPr="00E36734" w:rsidRDefault="00A62CBE" w:rsidP="00761263">
      <w:pPr>
        <w:pStyle w:val="a5"/>
        <w:numPr>
          <w:ilvl w:val="0"/>
          <w:numId w:val="6"/>
        </w:numPr>
        <w:spacing w:after="0" w:line="360" w:lineRule="auto"/>
        <w:jc w:val="both"/>
        <w:rPr>
          <w:rFonts w:ascii="Times New Roman" w:eastAsia="Times New Roman" w:hAnsi="Times New Roman" w:cs="Times New Roman"/>
          <w:b/>
          <w:color w:val="222222"/>
          <w:sz w:val="24"/>
          <w:szCs w:val="24"/>
          <w:lang w:eastAsia="el-GR"/>
        </w:rPr>
      </w:pPr>
      <w:r w:rsidRPr="00E36734">
        <w:rPr>
          <w:rFonts w:ascii="Times New Roman" w:eastAsia="Times New Roman" w:hAnsi="Times New Roman" w:cs="Times New Roman"/>
          <w:b/>
          <w:color w:val="222222"/>
          <w:sz w:val="24"/>
          <w:szCs w:val="24"/>
          <w:lang w:eastAsia="el-GR"/>
        </w:rPr>
        <w:t xml:space="preserve">Βασικοί οικονομικοί δείκτες </w:t>
      </w:r>
    </w:p>
    <w:p w14:paraId="2B2EFE45" w14:textId="582A54F3" w:rsidR="00B775D9" w:rsidRPr="00E36734" w:rsidRDefault="00B775D9" w:rsidP="00C80938">
      <w:pPr>
        <w:pStyle w:val="a5"/>
        <w:numPr>
          <w:ilvl w:val="0"/>
          <w:numId w:val="18"/>
        </w:numPr>
        <w:spacing w:after="0" w:line="360" w:lineRule="auto"/>
        <w:ind w:left="360"/>
        <w:jc w:val="both"/>
        <w:rPr>
          <w:rFonts w:ascii="Times New Roman" w:eastAsia="Times New Roman" w:hAnsi="Times New Roman" w:cs="Times New Roman"/>
          <w:bCs/>
          <w:color w:val="222222"/>
          <w:sz w:val="24"/>
          <w:szCs w:val="24"/>
          <w:lang w:eastAsia="el-GR"/>
        </w:rPr>
      </w:pPr>
      <w:r w:rsidRPr="00E36734">
        <w:rPr>
          <w:rFonts w:ascii="Times New Roman" w:eastAsia="Times New Roman" w:hAnsi="Times New Roman" w:cs="Times New Roman"/>
          <w:bCs/>
          <w:color w:val="222222"/>
          <w:sz w:val="24"/>
          <w:szCs w:val="24"/>
          <w:lang w:eastAsia="el-GR"/>
        </w:rPr>
        <w:t>Ο γενικός δείκτης οικονομικού κλίματος το Β εξάμηνο του 2020 διατηρείται σε εξαιρετικά χαμηλό επίπεδο καθώς διαμορφώνεται στις 20,1 μονάδες</w:t>
      </w:r>
      <w:r w:rsidR="00C80938" w:rsidRPr="00E36734">
        <w:rPr>
          <w:rFonts w:ascii="Times New Roman" w:eastAsia="Times New Roman" w:hAnsi="Times New Roman" w:cs="Times New Roman"/>
          <w:bCs/>
          <w:color w:val="222222"/>
          <w:sz w:val="24"/>
          <w:szCs w:val="24"/>
          <w:lang w:eastAsia="el-GR"/>
        </w:rPr>
        <w:t>.</w:t>
      </w:r>
    </w:p>
    <w:p w14:paraId="1DBFB0E2" w14:textId="46056617" w:rsidR="00B775D9" w:rsidRPr="00E36734" w:rsidRDefault="00B775D9" w:rsidP="00C80938">
      <w:pPr>
        <w:pStyle w:val="a5"/>
        <w:numPr>
          <w:ilvl w:val="0"/>
          <w:numId w:val="18"/>
        </w:numPr>
        <w:spacing w:after="0" w:line="360" w:lineRule="auto"/>
        <w:ind w:left="360"/>
        <w:jc w:val="both"/>
        <w:rPr>
          <w:rFonts w:ascii="Times New Roman" w:eastAsia="Times New Roman" w:hAnsi="Times New Roman" w:cs="Times New Roman"/>
          <w:bCs/>
          <w:color w:val="222222"/>
          <w:sz w:val="24"/>
          <w:szCs w:val="24"/>
          <w:lang w:eastAsia="el-GR"/>
        </w:rPr>
      </w:pPr>
      <w:r w:rsidRPr="00E36734">
        <w:rPr>
          <w:rFonts w:ascii="Times New Roman" w:eastAsia="Times New Roman" w:hAnsi="Times New Roman" w:cs="Times New Roman"/>
          <w:bCs/>
          <w:color w:val="222222"/>
          <w:sz w:val="24"/>
          <w:szCs w:val="24"/>
          <w:lang w:eastAsia="el-GR"/>
        </w:rPr>
        <w:t>8 στις 10 επιχειρήσεις (79,8%) δήλωσαν πως η οικονομική κατάσταση τους επιδεινώθηκε, έναντι μόλις 4,2% που δήλωσε ότι βελτιώθηκε και 15,9% που δήλωσε πως παρέμεινε αμετάβλητη</w:t>
      </w:r>
      <w:r w:rsidR="00C80938" w:rsidRPr="00E36734">
        <w:rPr>
          <w:rFonts w:ascii="Times New Roman" w:eastAsia="Times New Roman" w:hAnsi="Times New Roman" w:cs="Times New Roman"/>
          <w:bCs/>
          <w:color w:val="222222"/>
          <w:sz w:val="24"/>
          <w:szCs w:val="24"/>
          <w:lang w:eastAsia="el-GR"/>
        </w:rPr>
        <w:t>.</w:t>
      </w:r>
    </w:p>
    <w:p w14:paraId="478FAD04" w14:textId="6B88E67F" w:rsidR="00460AC4" w:rsidRPr="00E36734" w:rsidRDefault="00B775D9"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 xml:space="preserve">7 στις 10 επιχειρήσεις (70,7%) δήλωσαν πως μειώθηκε ο τζίρος </w:t>
      </w:r>
      <w:r w:rsidR="00E22D6F" w:rsidRPr="00E36734">
        <w:rPr>
          <w:rFonts w:ascii="Times New Roman" w:eastAsia="Times New Roman" w:hAnsi="Times New Roman" w:cs="Times New Roman"/>
          <w:color w:val="222222"/>
          <w:sz w:val="24"/>
          <w:szCs w:val="24"/>
          <w:lang w:eastAsia="el-GR"/>
        </w:rPr>
        <w:t xml:space="preserve">τους </w:t>
      </w:r>
      <w:r w:rsidRPr="00E36734">
        <w:rPr>
          <w:rFonts w:ascii="Times New Roman" w:eastAsia="Times New Roman" w:hAnsi="Times New Roman" w:cs="Times New Roman"/>
          <w:color w:val="222222"/>
          <w:sz w:val="24"/>
          <w:szCs w:val="24"/>
          <w:lang w:eastAsia="el-GR"/>
        </w:rPr>
        <w:t>έναντι μόλις του 11,1% που δήλωσε πως αυξήθηκε και του 16,9% που δήλωσε πως παρέμεινε αμετάβλητος</w:t>
      </w:r>
      <w:r w:rsidR="00460AC4" w:rsidRPr="00E36734">
        <w:rPr>
          <w:rFonts w:ascii="Times New Roman" w:eastAsia="Times New Roman" w:hAnsi="Times New Roman" w:cs="Times New Roman"/>
          <w:color w:val="222222"/>
          <w:sz w:val="24"/>
          <w:szCs w:val="24"/>
          <w:lang w:eastAsia="el-GR"/>
        </w:rPr>
        <w:t>.</w:t>
      </w:r>
    </w:p>
    <w:p w14:paraId="7DFF8F24" w14:textId="606A3444" w:rsidR="00E22D6F" w:rsidRPr="00E36734" w:rsidRDefault="00E22D6F"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Ο κύκλος εργασιών μειώθηκε μεσοσταθμικά κατά 32,4% το Β εξάμηνο του 2020, έναντι 40,1% που είχε καταγραφεί το Α εξάμηνο</w:t>
      </w:r>
      <w:r w:rsidR="00685193" w:rsidRPr="00E36734">
        <w:rPr>
          <w:rFonts w:ascii="Times New Roman" w:eastAsia="Times New Roman" w:hAnsi="Times New Roman" w:cs="Times New Roman"/>
          <w:color w:val="222222"/>
          <w:sz w:val="24"/>
          <w:szCs w:val="24"/>
          <w:lang w:eastAsia="el-GR"/>
        </w:rPr>
        <w:t>.</w:t>
      </w:r>
    </w:p>
    <w:p w14:paraId="6563F343" w14:textId="6A5B200D" w:rsidR="00685193" w:rsidRPr="00E36734" w:rsidRDefault="00685193"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Δυσμενέστερη είναι κατάσταση που καταγράφεται στις επιχειρήσεις που ανέστειλαν τη λειτουργία τους με κρατική εντολή, καθώς 8 στις 10 επιχειρήσεις δήλωσαν πως το Β εξάμηνο του 2020 μειώθηκε ο τζίρος τους, ενώ αντίστοιχα είναι και τα στοιχεία των πληττόμενων βάσει ΚΑΔ επιχειρήσεων όπου το 74,4% δήλωσε πως κατέγραψε μείωση του τζίρου το Β εξάμηνο του 2020.</w:t>
      </w:r>
    </w:p>
    <w:p w14:paraId="4CA09192" w14:textId="6E47303E" w:rsidR="00685193" w:rsidRPr="00E36734" w:rsidRDefault="00685193"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val="en-US" w:eastAsia="el-GR"/>
        </w:rPr>
        <w:t>H</w:t>
      </w:r>
      <w:r w:rsidRPr="00E36734">
        <w:rPr>
          <w:rFonts w:ascii="Times New Roman" w:eastAsia="Times New Roman" w:hAnsi="Times New Roman" w:cs="Times New Roman"/>
          <w:color w:val="222222"/>
          <w:sz w:val="24"/>
          <w:szCs w:val="24"/>
          <w:lang w:eastAsia="el-GR"/>
        </w:rPr>
        <w:t xml:space="preserve"> μεσοσταθμική μείωση του τζίρου των επιχειρήσεων που ανέστειλαν τη λειτουργία με κρατική εντολή ανήλθε στο 39,3% και των επιχειρήσεις εστίασης στο 44,2%</w:t>
      </w:r>
    </w:p>
    <w:p w14:paraId="209A62D8" w14:textId="0AB294E5" w:rsidR="00E22D6F" w:rsidRPr="00E36734" w:rsidRDefault="00E22D6F"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Οι επιχειρήσεις που δηλώνουν ετήσιο τζίρο κάτω από 50.000€ αυξήθηκαν το 2020 σε σχέση με το 2019 κατά 10 ποσοστιαίες μονάδες. Συγκεκριμένα, αντιστοιχούν στο 44,6% έναντι του 34,1% που ήταν το 2019.</w:t>
      </w:r>
    </w:p>
    <w:p w14:paraId="1555B690" w14:textId="19B1AA65" w:rsidR="00E22D6F" w:rsidRPr="00E36734" w:rsidRDefault="00E22D6F"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Διπλασιάστηκαν οι επιχειρήσεις που το</w:t>
      </w:r>
      <w:r w:rsidR="00C80938" w:rsidRPr="00E36734">
        <w:rPr>
          <w:rFonts w:ascii="Times New Roman" w:eastAsia="Times New Roman" w:hAnsi="Times New Roman" w:cs="Times New Roman"/>
          <w:b/>
          <w:bCs/>
          <w:color w:val="222222"/>
          <w:sz w:val="24"/>
          <w:szCs w:val="24"/>
          <w:lang w:eastAsia="el-GR"/>
        </w:rPr>
        <w:t xml:space="preserve"> </w:t>
      </w:r>
      <w:r w:rsidRPr="00E36734">
        <w:rPr>
          <w:rFonts w:ascii="Times New Roman" w:eastAsia="Times New Roman" w:hAnsi="Times New Roman" w:cs="Times New Roman"/>
          <w:b/>
          <w:bCs/>
          <w:color w:val="222222"/>
          <w:sz w:val="24"/>
          <w:szCs w:val="24"/>
          <w:lang w:eastAsia="el-GR"/>
        </w:rPr>
        <w:t>2020 σε σύγκριση με το 2019 κατέγραψαν ζημιές (47,8% το 2020 από 27,6% το 2019), ενώ υποδιπλασιάστηκαν οι επιχειρήσεις που κατέγραψαν κέρδη (27,3% το 2020 από 55,2% το 2019).</w:t>
      </w:r>
    </w:p>
    <w:p w14:paraId="2C9096AA" w14:textId="43F0CEB9" w:rsidR="00E22D6F" w:rsidRPr="00E36734" w:rsidRDefault="00E22D6F"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 xml:space="preserve">Το 66,8% δήλωσε πως κατά το Β εξάμηνο μειώθηκε η ζήτηση, έναντι του 13,7% που δήλωσε πως αυξήθηκε και του 19,1% που δήλωσε πως παρέμεινε αμετάβλητη. </w:t>
      </w:r>
    </w:p>
    <w:p w14:paraId="61871A11" w14:textId="78896B5C" w:rsidR="00E22D6F" w:rsidRPr="00E36734" w:rsidRDefault="00E22D6F"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lastRenderedPageBreak/>
        <w:t xml:space="preserve">Το 71,5% δήλωσε πως το Β εξάμηνο του 2020 μειώθηκαν οι παραγγελίες, έναντι του 9,2% που δήλωσε πως αυξήθηκαν και του17,7% που δήλωσε πως οι παραγγελίες παρέμειναν σταθερές.  </w:t>
      </w:r>
    </w:p>
    <w:p w14:paraId="4AE89AE9" w14:textId="2EF91A32" w:rsidR="00A9032A" w:rsidRPr="00E36734" w:rsidRDefault="00A9032A"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hAnsi="Times New Roman" w:cs="Times New Roman"/>
          <w:sz w:val="24"/>
          <w:szCs w:val="24"/>
        </w:rPr>
        <w:t>Το 74,9% των επιχειρήσεων δήλωσε ότι το Β εξάμηνο του 2020 μειώθηκε περεταίρω η ρευστότητα του, έναντι μόλις του 7,5% που δήλωσε ότι αυξήθηκε και του 16,9% που δήλωσε ότι δεν μεταβλήθηκε.</w:t>
      </w:r>
    </w:p>
    <w:p w14:paraId="3DBF86A9" w14:textId="77777777" w:rsidR="00A9032A" w:rsidRPr="00E36734" w:rsidRDefault="00A9032A"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Οι επιχειρήσεις που δεν έχουν καθόλου ταμειακά διαθέσιμα έχουν αυξηθεί κατά 10 ποσοστιαίες μονάδες, μέσα σε μόλις 1 εξάμηνο. </w:t>
      </w:r>
    </w:p>
    <w:p w14:paraId="256EC5A9" w14:textId="3C12AE37" w:rsidR="00A9032A" w:rsidRPr="00E36734" w:rsidRDefault="00A9032A"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color w:val="222222"/>
          <w:sz w:val="24"/>
          <w:szCs w:val="24"/>
          <w:lang w:eastAsia="el-GR"/>
        </w:rPr>
        <w:t xml:space="preserve">Συγκεκριμένα σχεδόν 1 στις 4 επιχειρήσεις δεν έχει καθόλου ταμειακά διαθέσιμα, ενώ για επίσης 1 στις 4 επιχειρήσεις τα ταμειακά διαθέσιμα δεν επαρκούν για περισσότερο από ένα μήνα. Με άλλα λόγια, η </w:t>
      </w:r>
      <w:r w:rsidRPr="00E36734">
        <w:rPr>
          <w:rFonts w:ascii="Times New Roman" w:eastAsia="Times New Roman" w:hAnsi="Times New Roman" w:cs="Times New Roman"/>
          <w:b/>
          <w:bCs/>
          <w:color w:val="222222"/>
          <w:sz w:val="24"/>
          <w:szCs w:val="24"/>
          <w:lang w:eastAsia="el-GR"/>
        </w:rPr>
        <w:t>1 στις 2 μικρές και πολύ μικρές επιχειρήσεις έχουν ταμειακά διαθέσιμα το πολύ για ένα μήνα.</w:t>
      </w:r>
    </w:p>
    <w:p w14:paraId="58E6524B" w14:textId="77777777" w:rsidR="00685193" w:rsidRPr="00E36734" w:rsidRDefault="00685193"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Δυσμενέστερη είναι η εικόνα όσον αφορά τα ταμειακά διαθέσιμα το επιχειρήσεων που ανέστειλαν την λειτουργία τους με κρατική εντολή και ιδίως των επιχειρήσεων εστίασης. </w:t>
      </w:r>
    </w:p>
    <w:p w14:paraId="0ADD2334" w14:textId="77777777" w:rsidR="00685193" w:rsidRPr="00E36734" w:rsidRDefault="00685193"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Το 36,1% των επιχειρήσεων που ανέστειλαν την λειτουργία τους δεν έχουν καθόλου ρευστότητα, ενώ για το 22,5% τα ταμειακά διαθέσιμα επαρκούν το πολύ για ένα μήνα. </w:t>
      </w:r>
    </w:p>
    <w:p w14:paraId="33B238D7" w14:textId="16EFDC25" w:rsidR="00685193" w:rsidRPr="00E36734" w:rsidRDefault="00685193" w:rsidP="00C80938">
      <w:pPr>
        <w:pStyle w:val="a5"/>
        <w:numPr>
          <w:ilvl w:val="0"/>
          <w:numId w:val="5"/>
        </w:numPr>
        <w:spacing w:after="0" w:line="360" w:lineRule="auto"/>
        <w:ind w:left="360"/>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Χειρότερη φαίνεται πως είναι η κατάσταση για τις επιχειρήσεις εστίασης καθώς το 44,1% δεν έχει καθόλου ταμειακά διαθέσιμα, ενώ για το 19,2% επαρκούν το πολύ για ένα μήνα.</w:t>
      </w:r>
    </w:p>
    <w:p w14:paraId="38F81A55" w14:textId="2A23DA0B" w:rsidR="00A9032A" w:rsidRPr="00E36734" w:rsidRDefault="00A9032A"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Το 10,5% των επιχειρήσεων προχώρησε σε επενδύσεις το Β εξάμηνο του 2020, έναντι του 16.2% του αντίστοιχου περσινού διαστήματος.</w:t>
      </w:r>
    </w:p>
    <w:p w14:paraId="4FCEF232" w14:textId="713E8489" w:rsidR="00A9032A" w:rsidRPr="00E36734" w:rsidRDefault="00A9032A"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Το 6,2% των επιχειρήσεων δήλωσε πως αύξησε το προσωπικό του το Β εξάμηνο του 2020, έναντι του 9% που δήλωσε ότι το μείωσε και του 84,5% που το διατήρησε σταθερό.</w:t>
      </w:r>
    </w:p>
    <w:p w14:paraId="066F6AF8" w14:textId="77777777" w:rsidR="00A23BA0" w:rsidRPr="00E36734" w:rsidRDefault="00A23BA0" w:rsidP="00A23BA0">
      <w:pPr>
        <w:pStyle w:val="a5"/>
        <w:spacing w:after="0" w:line="360" w:lineRule="auto"/>
        <w:ind w:left="360"/>
        <w:jc w:val="both"/>
        <w:rPr>
          <w:rFonts w:ascii="Times New Roman" w:eastAsia="Times New Roman" w:hAnsi="Times New Roman" w:cs="Times New Roman"/>
          <w:color w:val="222222"/>
          <w:sz w:val="24"/>
          <w:szCs w:val="24"/>
          <w:lang w:eastAsia="el-GR"/>
        </w:rPr>
      </w:pPr>
    </w:p>
    <w:p w14:paraId="7906BC75" w14:textId="6D9342C7" w:rsidR="00A9032A" w:rsidRPr="00E36734" w:rsidRDefault="00A9032A" w:rsidP="00A9032A">
      <w:pPr>
        <w:pStyle w:val="a5"/>
        <w:numPr>
          <w:ilvl w:val="0"/>
          <w:numId w:val="6"/>
        </w:numPr>
        <w:spacing w:after="0" w:line="360" w:lineRule="auto"/>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Υποχρεώσεις/οφειλές </w:t>
      </w:r>
    </w:p>
    <w:p w14:paraId="59412422" w14:textId="0023698D"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Υψηλά παραμένουν τα ποσοστά των επιχειρήσεων που δηλώνουν πως έχουν ληξιπρόθεσμες οφειλές, παρόλο που στις περισσότερες κατηγορίες υποχρεώσεων είναι μειωμένα σε σύγκριση με εκείνα της προηγούμενης εξαμηνιαίας έρευνας του ΙΜΕ ΓΣΕΒΕΕ (Ιούλιος 2020). Επιπλέον, και σε αυτούς τους δείκτες παρουσιάζονται σημαντικές διαφοροποιήσεις μεταξύ των επιχειρήσεων. Οι επιχειρήσεις που αντιμετωπίζουν μεγαλύτερα προβλήματα αποπληρωμής των υποχρεώσεων τους παρατηρούνται περισσότερο σε εκείνες που ανέστειλαν την λειτουργία τους με κρατική εντολή. Όπου έχουν ληφθεί αποτελεσματικά μέτρα για την ανακούφιση των επιχειρήσεων οι ληξιπρόθεσμες οφειλές φαίνεται πως έχουν συγκρατηθεί</w:t>
      </w:r>
      <w:r w:rsidR="005C06B9" w:rsidRPr="00E36734">
        <w:rPr>
          <w:rFonts w:ascii="Times New Roman" w:eastAsia="Times New Roman" w:hAnsi="Times New Roman" w:cs="Times New Roman"/>
          <w:color w:val="222222"/>
          <w:sz w:val="24"/>
          <w:szCs w:val="24"/>
          <w:lang w:eastAsia="el-GR"/>
        </w:rPr>
        <w:t>.</w:t>
      </w:r>
    </w:p>
    <w:p w14:paraId="6994E384" w14:textId="319C4DB2" w:rsidR="005C06B9" w:rsidRPr="00E36734" w:rsidRDefault="00C80938"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Γενικά</w:t>
      </w:r>
      <w:r w:rsidR="005C06B9" w:rsidRPr="00E36734">
        <w:rPr>
          <w:rFonts w:ascii="Times New Roman" w:eastAsia="Times New Roman" w:hAnsi="Times New Roman" w:cs="Times New Roman"/>
          <w:color w:val="222222"/>
          <w:sz w:val="24"/>
          <w:szCs w:val="24"/>
          <w:lang w:eastAsia="el-GR"/>
        </w:rPr>
        <w:t xml:space="preserve">, σχεδόν 1 στις 2 επιχειρήσεις (46,4%) φαίνεται πως έχει τουλάχιστον 1 ληξιπρόθεσμη οφειλή, 1 στις 4 επιχειρήσεις (21,6%) έχει ληξιπρόθεσμες οφειλές προς το Δημόσιο (εφορία και ασφαλιστικά </w:t>
      </w:r>
      <w:r w:rsidR="005C06B9" w:rsidRPr="00E36734">
        <w:rPr>
          <w:rFonts w:ascii="Times New Roman" w:eastAsia="Times New Roman" w:hAnsi="Times New Roman" w:cs="Times New Roman"/>
          <w:color w:val="222222"/>
          <w:sz w:val="24"/>
          <w:szCs w:val="24"/>
          <w:lang w:eastAsia="el-GR"/>
        </w:rPr>
        <w:lastRenderedPageBreak/>
        <w:t xml:space="preserve">ταμεία), ενώ επίσης 1 στις 4 επιχειρήσεις (19,7%) έχει ληξιπρόθεσμες οφειλές στις μισές τουλάχιστον από τις 8 κατηγορίες υποχρεώσεων της έρευνας. </w:t>
      </w:r>
    </w:p>
    <w:p w14:paraId="0466DAB4" w14:textId="7CCCD62B"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1 στις 4 επιχειρήσεις (23,8%) δήλωσε πως έχει ληξιπρόθεσμες οφειλές προς την εφορία (ΦΠΑ, ΦΜΥ κλπ)</w:t>
      </w:r>
    </w:p>
    <w:p w14:paraId="78E0D3C6" w14:textId="77777777"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1 στις 4 επιχειρήσεις (26,3%) δηλώνει πως έχει ληξιπρόθεσμες οφειλές προς τον πρώην ΟΑΕΕ</w:t>
      </w:r>
    </w:p>
    <w:p w14:paraId="64294F75" w14:textId="77777777"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Το 14,9% των επιχειρήσεων που απασχολούν προσωπικό δήλωσε πώς έχει ληξιπρόθεσμες οφειλές προς το πρώην ΙΚΑ</w:t>
      </w:r>
    </w:p>
    <w:p w14:paraId="1FDA3783" w14:textId="77777777"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το 32,9% των επιχειρήσεων που έχουν τραπεζικά δάνεια δήλωσε πως έχει καθυστερημένες οφειλές</w:t>
      </w:r>
    </w:p>
    <w:p w14:paraId="119067AC" w14:textId="77777777" w:rsidR="00CB760D" w:rsidRPr="00E36734" w:rsidRDefault="00CB760D" w:rsidP="00C80938">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 xml:space="preserve">το 23% των επιχειρήσεων που έχουν ενοίκιο δήλωσε πως έχει καθυστερημένες οφειλές </w:t>
      </w:r>
    </w:p>
    <w:p w14:paraId="14768EBC" w14:textId="3FB96D30" w:rsidR="00CB760D" w:rsidRPr="00E36734" w:rsidRDefault="00CB760D" w:rsidP="00CB760D">
      <w:pPr>
        <w:pStyle w:val="a5"/>
        <w:numPr>
          <w:ilvl w:val="0"/>
          <w:numId w:val="5"/>
        </w:numPr>
        <w:spacing w:after="0" w:line="360" w:lineRule="auto"/>
        <w:ind w:left="360"/>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Το 22,6% έχει καθυστερημένες οφειλές προς προμηθευτές</w:t>
      </w:r>
    </w:p>
    <w:p w14:paraId="491BAA3E" w14:textId="77777777" w:rsidR="00A23BA0" w:rsidRPr="00E36734" w:rsidRDefault="00A23BA0" w:rsidP="00CB760D">
      <w:pPr>
        <w:spacing w:after="0" w:line="360" w:lineRule="auto"/>
        <w:jc w:val="both"/>
        <w:rPr>
          <w:rFonts w:ascii="Times New Roman" w:eastAsia="Times New Roman" w:hAnsi="Times New Roman" w:cs="Times New Roman"/>
          <w:b/>
          <w:color w:val="222222"/>
          <w:sz w:val="24"/>
          <w:szCs w:val="24"/>
          <w:u w:val="single"/>
          <w:lang w:eastAsia="el-GR"/>
        </w:rPr>
      </w:pPr>
    </w:p>
    <w:p w14:paraId="38E2D628" w14:textId="453AD332" w:rsidR="00A23BA0" w:rsidRPr="00E36734" w:rsidRDefault="009A50FC" w:rsidP="00CB760D">
      <w:pPr>
        <w:spacing w:after="0" w:line="360" w:lineRule="auto"/>
        <w:jc w:val="both"/>
        <w:rPr>
          <w:rFonts w:ascii="Times New Roman" w:eastAsia="Times New Roman" w:hAnsi="Times New Roman" w:cs="Times New Roman"/>
          <w:b/>
          <w:color w:val="222222"/>
          <w:sz w:val="24"/>
          <w:szCs w:val="24"/>
          <w:lang w:eastAsia="el-GR"/>
        </w:rPr>
      </w:pPr>
      <w:r w:rsidRPr="00E36734">
        <w:rPr>
          <w:rFonts w:ascii="Times New Roman" w:eastAsia="Times New Roman" w:hAnsi="Times New Roman" w:cs="Times New Roman"/>
          <w:b/>
          <w:color w:val="222222"/>
          <w:sz w:val="24"/>
          <w:szCs w:val="24"/>
          <w:u w:val="single"/>
          <w:lang w:eastAsia="el-GR"/>
        </w:rPr>
        <w:t>Προσδοκίες για το επόμενο εξάμηνο</w:t>
      </w:r>
      <w:r w:rsidRPr="00E36734">
        <w:rPr>
          <w:rFonts w:ascii="Times New Roman" w:eastAsia="Times New Roman" w:hAnsi="Times New Roman" w:cs="Times New Roman"/>
          <w:b/>
          <w:color w:val="222222"/>
          <w:sz w:val="24"/>
          <w:szCs w:val="24"/>
          <w:lang w:eastAsia="el-GR"/>
        </w:rPr>
        <w:t xml:space="preserve"> </w:t>
      </w:r>
    </w:p>
    <w:p w14:paraId="7CC51195" w14:textId="77777777" w:rsidR="00A23BA0" w:rsidRPr="00E36734" w:rsidRDefault="00A23BA0" w:rsidP="00CB760D">
      <w:pPr>
        <w:spacing w:after="0" w:line="360" w:lineRule="auto"/>
        <w:jc w:val="both"/>
        <w:rPr>
          <w:rFonts w:ascii="Times New Roman" w:eastAsia="Times New Roman" w:hAnsi="Times New Roman" w:cs="Times New Roman"/>
          <w:b/>
          <w:color w:val="222222"/>
          <w:sz w:val="24"/>
          <w:szCs w:val="24"/>
          <w:lang w:eastAsia="el-GR"/>
        </w:rPr>
      </w:pPr>
    </w:p>
    <w:p w14:paraId="7974EA57" w14:textId="7C07062C" w:rsidR="009A50FC" w:rsidRPr="00E36734" w:rsidRDefault="009A50FC" w:rsidP="000948E7">
      <w:pPr>
        <w:pStyle w:val="a5"/>
        <w:numPr>
          <w:ilvl w:val="0"/>
          <w:numId w:val="6"/>
        </w:numPr>
        <w:spacing w:after="0" w:line="360" w:lineRule="auto"/>
        <w:jc w:val="both"/>
        <w:rPr>
          <w:rFonts w:ascii="Times New Roman" w:eastAsia="Times New Roman" w:hAnsi="Times New Roman" w:cs="Times New Roman"/>
          <w:b/>
          <w:color w:val="222222"/>
          <w:sz w:val="24"/>
          <w:szCs w:val="24"/>
          <w:lang w:eastAsia="el-GR"/>
        </w:rPr>
      </w:pPr>
      <w:r w:rsidRPr="00E36734">
        <w:rPr>
          <w:rFonts w:ascii="Times New Roman" w:eastAsia="Times New Roman" w:hAnsi="Times New Roman" w:cs="Times New Roman"/>
          <w:b/>
          <w:color w:val="222222"/>
          <w:sz w:val="24"/>
          <w:szCs w:val="24"/>
          <w:lang w:eastAsia="el-GR"/>
        </w:rPr>
        <w:t xml:space="preserve">Βιωσιμότητα επιχειρήσεων </w:t>
      </w:r>
      <w:r w:rsidR="00CB760D" w:rsidRPr="00E36734">
        <w:rPr>
          <w:rFonts w:ascii="Times New Roman" w:eastAsia="Times New Roman" w:hAnsi="Times New Roman" w:cs="Times New Roman"/>
          <w:b/>
          <w:color w:val="222222"/>
          <w:sz w:val="24"/>
          <w:szCs w:val="24"/>
          <w:lang w:eastAsia="el-GR"/>
        </w:rPr>
        <w:t>– Βασικοί οικονομικοί δείκτες</w:t>
      </w:r>
    </w:p>
    <w:p w14:paraId="154EF3C2" w14:textId="67A00163" w:rsidR="002452C5" w:rsidRPr="00E36734" w:rsidRDefault="00B841AC" w:rsidP="00A23BA0">
      <w:pPr>
        <w:pStyle w:val="a5"/>
        <w:numPr>
          <w:ilvl w:val="0"/>
          <w:numId w:val="8"/>
        </w:numPr>
        <w:spacing w:after="0" w:line="360" w:lineRule="auto"/>
        <w:ind w:left="360"/>
        <w:jc w:val="both"/>
        <w:rPr>
          <w:rFonts w:ascii="Times New Roman" w:hAnsi="Times New Roman" w:cs="Times New Roman"/>
          <w:sz w:val="24"/>
          <w:szCs w:val="24"/>
        </w:rPr>
      </w:pPr>
      <w:r w:rsidRPr="00B841AC">
        <w:rPr>
          <w:rFonts w:ascii="Times New Roman" w:hAnsi="Times New Roman" w:cs="Times New Roman"/>
          <w:sz w:val="24"/>
          <w:szCs w:val="24"/>
        </w:rPr>
        <w:t>4</w:t>
      </w:r>
      <w:r w:rsidR="00A62CBE" w:rsidRPr="00E36734">
        <w:rPr>
          <w:rFonts w:ascii="Times New Roman" w:hAnsi="Times New Roman" w:cs="Times New Roman"/>
          <w:sz w:val="24"/>
          <w:szCs w:val="24"/>
        </w:rPr>
        <w:t xml:space="preserve"> στις </w:t>
      </w:r>
      <w:r w:rsidRPr="00B841AC">
        <w:rPr>
          <w:rFonts w:ascii="Times New Roman" w:hAnsi="Times New Roman" w:cs="Times New Roman"/>
          <w:sz w:val="24"/>
          <w:szCs w:val="24"/>
        </w:rPr>
        <w:t>10</w:t>
      </w:r>
      <w:r w:rsidR="00CB760D" w:rsidRPr="00E36734">
        <w:rPr>
          <w:rFonts w:ascii="Times New Roman" w:hAnsi="Times New Roman" w:cs="Times New Roman"/>
          <w:sz w:val="24"/>
          <w:szCs w:val="24"/>
        </w:rPr>
        <w:t xml:space="preserve"> (38,2%)</w:t>
      </w:r>
      <w:r w:rsidR="00A62CBE" w:rsidRPr="00E36734">
        <w:rPr>
          <w:rFonts w:ascii="Times New Roman" w:hAnsi="Times New Roman" w:cs="Times New Roman"/>
          <w:sz w:val="24"/>
          <w:szCs w:val="24"/>
        </w:rPr>
        <w:t xml:space="preserve"> μικρές και πολύ μικρές επιχειρήσεις εκφράζουν τον φόβο για ενδεχόμενη διακοπή της δραστηριότητας τους κατά το επόμενο διάστημα.</w:t>
      </w:r>
    </w:p>
    <w:p w14:paraId="7F484B82" w14:textId="4B2FB4EC" w:rsidR="00A9032A" w:rsidRPr="00E36734" w:rsidRDefault="00A9032A" w:rsidP="00761263">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Το 53,6% των επιχειρήσεων περιμένει μείωση του κύκλου εργασιών, το 52,8% μείωση της ζήτησης, το 54,6% μείωση των παραγγελιών, το 56,7% μείωση της ρευστότητας, ενώ μόλις το 6% των επιχειρήσεων προτίθεται να κάνει κάποιου είδους επένδυση.</w:t>
      </w:r>
    </w:p>
    <w:p w14:paraId="003CA5FE" w14:textId="1A0F0111" w:rsidR="00A9032A" w:rsidRPr="00E36734" w:rsidRDefault="00CB760D" w:rsidP="00761263">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Τ</w:t>
      </w:r>
      <w:r w:rsidR="00A9032A" w:rsidRPr="00E36734">
        <w:rPr>
          <w:rFonts w:ascii="Times New Roman" w:hAnsi="Times New Roman" w:cs="Times New Roman"/>
          <w:sz w:val="24"/>
          <w:szCs w:val="24"/>
        </w:rPr>
        <w:t>ο 7,4% των μικρών και πολύ μικρών επιχειρήσεων εκτιμά πως θα κάνει προσλήψεις το Β εξάμηνο του 2021 έναντι του 3,4% που δηλώνει πως θα προχωρήσει σε μειώσεις προσωπικού</w:t>
      </w:r>
      <w:r w:rsidRPr="00E36734">
        <w:rPr>
          <w:rFonts w:ascii="Times New Roman" w:hAnsi="Times New Roman" w:cs="Times New Roman"/>
          <w:sz w:val="24"/>
          <w:szCs w:val="24"/>
        </w:rPr>
        <w:t xml:space="preserve"> και του 84,1% που δήλωσε πως θα το κρατήσει σταθερό.</w:t>
      </w:r>
    </w:p>
    <w:p w14:paraId="4CA8B826" w14:textId="53634CCD" w:rsidR="00685193" w:rsidRPr="00E36734" w:rsidRDefault="00685193" w:rsidP="00761263">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Το 63,1% των επιχειρήσεων θεωρεί πως η οικονομική κρίση που έχει προκαλέσει η πανδημία θα διαρκέσει για τουλάχιστον 2 χρόνια με τους επιχειρηματίες της εστίασης να καταγράφουν το μεγαλύτερο ποσοστό απαισιοδοξίας (</w:t>
      </w:r>
      <w:r w:rsidR="008D6CAD" w:rsidRPr="00E36734">
        <w:rPr>
          <w:rFonts w:ascii="Times New Roman" w:hAnsi="Times New Roman" w:cs="Times New Roman"/>
          <w:sz w:val="24"/>
          <w:szCs w:val="24"/>
        </w:rPr>
        <w:t>72%)</w:t>
      </w:r>
    </w:p>
    <w:p w14:paraId="20EDEA50" w14:textId="02A2AA3D" w:rsidR="005C06B9" w:rsidRPr="00E36734" w:rsidRDefault="005C06B9" w:rsidP="005C06B9">
      <w:pPr>
        <w:spacing w:after="0" w:line="360" w:lineRule="auto"/>
        <w:jc w:val="both"/>
        <w:rPr>
          <w:rFonts w:ascii="Times New Roman" w:hAnsi="Times New Roman" w:cs="Times New Roman"/>
          <w:sz w:val="24"/>
          <w:szCs w:val="24"/>
        </w:rPr>
      </w:pPr>
    </w:p>
    <w:p w14:paraId="35698BDA" w14:textId="144CDB55" w:rsidR="005C06B9" w:rsidRPr="00E36734" w:rsidRDefault="005C06B9" w:rsidP="005C06B9">
      <w:pPr>
        <w:pStyle w:val="a5"/>
        <w:numPr>
          <w:ilvl w:val="0"/>
          <w:numId w:val="6"/>
        </w:numPr>
        <w:spacing w:after="0" w:line="360" w:lineRule="auto"/>
        <w:jc w:val="both"/>
        <w:rPr>
          <w:rFonts w:ascii="Times New Roman" w:eastAsia="Times New Roman" w:hAnsi="Times New Roman" w:cs="Times New Roman"/>
          <w:b/>
          <w:bCs/>
          <w:color w:val="222222"/>
          <w:sz w:val="24"/>
          <w:szCs w:val="24"/>
          <w:lang w:eastAsia="el-GR"/>
        </w:rPr>
      </w:pPr>
      <w:r w:rsidRPr="00E36734">
        <w:rPr>
          <w:rFonts w:ascii="Times New Roman" w:eastAsia="Times New Roman" w:hAnsi="Times New Roman" w:cs="Times New Roman"/>
          <w:b/>
          <w:bCs/>
          <w:color w:val="222222"/>
          <w:sz w:val="24"/>
          <w:szCs w:val="24"/>
          <w:lang w:eastAsia="el-GR"/>
        </w:rPr>
        <w:t xml:space="preserve">Υποχρεώσεις/οφειλές </w:t>
      </w:r>
    </w:p>
    <w:p w14:paraId="157902A5" w14:textId="630B01D3" w:rsidR="00CB760D" w:rsidRPr="00E36734" w:rsidRDefault="00CB760D" w:rsidP="00CB760D">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Ως προς τις εκτιμήσεις των επιχειρήσεων για το επόμενο διάστημα η κατάσταση προδιαγράφεται ιδιαίτερα δυσοίωνη. Τα ποσοστά των επιχειρήσεων που εκτιμούν πως δεν θα μπορέσουν να ανταποκριθούν στις υποχρεώσεις το επόμενο διάστημα παρουσιάζουν σημαντική αύξηση σε όλες τις κατηγορίες υποχρεώσεων σε σύγκριση με την αντίστοιχη εξαμηνιαία έρευνα του Ιουλίου του 2020. </w:t>
      </w:r>
    </w:p>
    <w:p w14:paraId="5E673E92" w14:textId="11156B2A" w:rsidR="00CB760D" w:rsidRPr="00E36734" w:rsidRDefault="00CB760D" w:rsidP="00CB760D">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Περίπου 1 στις 3 επιχειρήσεις δήλωσε πως δεν θα μπορέσει να ανταποκριθεί:</w:t>
      </w:r>
    </w:p>
    <w:p w14:paraId="39D83D95" w14:textId="77777777" w:rsidR="00CB760D" w:rsidRPr="00E36734" w:rsidRDefault="00CB760D" w:rsidP="00CB760D">
      <w:pPr>
        <w:pStyle w:val="a5"/>
        <w:numPr>
          <w:ilvl w:val="1"/>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στις ασφαλιστικές της υποχρεώσεις (31,3% προς τον πρώην ΟΑΕΕ και 24,2% προς το ΙΚΑ)</w:t>
      </w:r>
    </w:p>
    <w:p w14:paraId="37BF4F1A" w14:textId="77777777" w:rsidR="00CB760D" w:rsidRPr="00E36734" w:rsidRDefault="00CB760D" w:rsidP="00CB760D">
      <w:pPr>
        <w:pStyle w:val="a5"/>
        <w:numPr>
          <w:ilvl w:val="1"/>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lastRenderedPageBreak/>
        <w:t>στις φορολογικές της υποχρεώσεις (30,1%)</w:t>
      </w:r>
    </w:p>
    <w:p w14:paraId="414A6758" w14:textId="77777777" w:rsidR="00CB760D" w:rsidRPr="00E36734" w:rsidRDefault="00CB760D" w:rsidP="00CB760D">
      <w:pPr>
        <w:pStyle w:val="a5"/>
        <w:numPr>
          <w:ilvl w:val="1"/>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στις υποχρεώσεις ενοικίου (35,2%)</w:t>
      </w:r>
    </w:p>
    <w:p w14:paraId="5E6B7F12" w14:textId="77777777" w:rsidR="00CB760D" w:rsidRPr="00E36734" w:rsidRDefault="00CB760D" w:rsidP="00CB760D">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Περίπου 1 στις 4 επιχειρήσεις δήλωσε πως δεν θα μπορέσει να ανταποκριθεί:</w:t>
      </w:r>
    </w:p>
    <w:p w14:paraId="5CF6C927" w14:textId="77777777" w:rsidR="00CB760D" w:rsidRPr="00E36734" w:rsidRDefault="00CB760D" w:rsidP="005C06B9">
      <w:pPr>
        <w:pStyle w:val="a5"/>
        <w:numPr>
          <w:ilvl w:val="1"/>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στις υποχρεώσεις προς προμηθευτές (26,6%)</w:t>
      </w:r>
    </w:p>
    <w:p w14:paraId="028FC16D" w14:textId="77777777" w:rsidR="00CB760D" w:rsidRPr="00E36734" w:rsidRDefault="00CB760D" w:rsidP="005C06B9">
      <w:pPr>
        <w:pStyle w:val="a5"/>
        <w:numPr>
          <w:ilvl w:val="1"/>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στις υποχρεώσεις για λογαριασμούς ενέργειας (26,3%) και λοιπούς λογαριασμούς (25,1%)</w:t>
      </w:r>
    </w:p>
    <w:p w14:paraId="5FFC276C" w14:textId="77777777" w:rsidR="00CB760D" w:rsidRPr="00E36734" w:rsidRDefault="00CB760D" w:rsidP="00CB760D">
      <w:pPr>
        <w:pStyle w:val="a5"/>
        <w:numPr>
          <w:ilvl w:val="0"/>
          <w:numId w:val="8"/>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Σχεδόν 1 στις 2 (44,6%) από τις επιχειρήσεις που έχουν τραπεζικό δάνειο δήλωσε πως δεν θα μπορέσει να ανταποκριθεί στις υποχρεώσεις του το επόμενο διάστημα.</w:t>
      </w:r>
    </w:p>
    <w:p w14:paraId="7C00A5D8" w14:textId="4EC52380" w:rsidR="00CB760D" w:rsidRPr="00E36734" w:rsidRDefault="00CB760D" w:rsidP="00696AF7">
      <w:pPr>
        <w:spacing w:after="0" w:line="360" w:lineRule="auto"/>
        <w:ind w:left="360"/>
        <w:jc w:val="both"/>
        <w:rPr>
          <w:rFonts w:ascii="Times New Roman" w:hAnsi="Times New Roman" w:cs="Times New Roman"/>
          <w:sz w:val="24"/>
          <w:szCs w:val="24"/>
        </w:rPr>
      </w:pPr>
    </w:p>
    <w:p w14:paraId="7BEFD524" w14:textId="4FE35A62" w:rsidR="00696AF7" w:rsidRPr="00E36734" w:rsidRDefault="00696AF7" w:rsidP="00A23BA0">
      <w:pPr>
        <w:spacing w:after="0" w:line="360" w:lineRule="auto"/>
        <w:jc w:val="both"/>
        <w:rPr>
          <w:rFonts w:ascii="Times New Roman" w:hAnsi="Times New Roman" w:cs="Times New Roman"/>
          <w:b/>
          <w:bCs/>
          <w:sz w:val="24"/>
          <w:szCs w:val="24"/>
          <w:u w:val="single"/>
        </w:rPr>
      </w:pPr>
      <w:r w:rsidRPr="00E36734">
        <w:rPr>
          <w:rFonts w:ascii="Times New Roman" w:hAnsi="Times New Roman" w:cs="Times New Roman"/>
          <w:b/>
          <w:bCs/>
          <w:sz w:val="24"/>
          <w:szCs w:val="24"/>
          <w:u w:val="single"/>
        </w:rPr>
        <w:t>Μέτρα ενίσχυσης της ρευστότητας των επιχειρήσεων</w:t>
      </w:r>
    </w:p>
    <w:p w14:paraId="5481E8E3" w14:textId="77777777" w:rsidR="00696AF7" w:rsidRPr="00E36734" w:rsidRDefault="00696AF7" w:rsidP="00696AF7">
      <w:pPr>
        <w:pStyle w:val="a5"/>
        <w:numPr>
          <w:ilvl w:val="0"/>
          <w:numId w:val="19"/>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Οι επιστρεπτέες προκαταβολές θεωρούνται από το μεγαλύτερο μέρος των μικρών και πολύ μικρών επιχειρήσεων ως το σημαντικότερο μέτρο για την ενίσχυση τους. </w:t>
      </w:r>
    </w:p>
    <w:p w14:paraId="23B2C71A" w14:textId="17348292" w:rsidR="00696AF7" w:rsidRPr="00E36734" w:rsidRDefault="00696AF7" w:rsidP="00696AF7">
      <w:pPr>
        <w:pStyle w:val="a5"/>
        <w:numPr>
          <w:ilvl w:val="0"/>
          <w:numId w:val="19"/>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Σχεδόν 4 στις 10 μικρές και πολύ μικρές επιχειρήσεις ( 37,8%) θεωρούν πως οι επιστρεπτέες προκαταβολές είναι το σημαντικότερο μέτρο στήριξής και ακολουθούν η μείωση/απαλλαγή ενοικίου (14,6%) η αναστολή φορολογικών/ασφαλιστικών υποχρεώσεων (13,6%), η αναστολή συμβάσεων εργασίας (8%) η τραπεζική δανειοδότηση με την εγγύηση του ελληνικού δημοσίου (8%), η αναστολή πληρωμής επιταγών για 75 ημέρες (2,2%) ενώ τελευταία κατατάσσονται τα προγράμματα δημιουργίας νέων θέσεων εργασίας του ΟΑΕΔ (1,2%),  το πρόγραμμα δημιουργίας 100.000 θέσεων εργασίας (0,9%) και το πρόγραμμα ΣΥΝ-ΕΡΓΑΣΙΑ (0,3%)</w:t>
      </w:r>
    </w:p>
    <w:p w14:paraId="4D8BC78B" w14:textId="31711756" w:rsidR="00696AF7" w:rsidRPr="00E36734" w:rsidRDefault="00696AF7" w:rsidP="00696AF7">
      <w:pPr>
        <w:pStyle w:val="a5"/>
        <w:numPr>
          <w:ilvl w:val="0"/>
          <w:numId w:val="19"/>
        </w:num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Περισσότερες από 6 στις 10 επιχειρήσεις (63,7%) έκαναν χρήση των επιστρεπτέων προκαταβολών το προηγούμενο εξάμηνο και ακολουθούν οι ρυθμίσεις για την μείωση ενοικίου (38,8%), η αναστολή των φορολογικών υποχρεώσεων (22,5%) και η αναστολή πληρωμής επιταγών (9,5%)</w:t>
      </w:r>
    </w:p>
    <w:p w14:paraId="07EE49E3" w14:textId="7C83B686" w:rsidR="00696AF7" w:rsidRPr="00E36734" w:rsidRDefault="00696AF7" w:rsidP="00696AF7">
      <w:pPr>
        <w:pStyle w:val="a5"/>
        <w:numPr>
          <w:ilvl w:val="0"/>
          <w:numId w:val="19"/>
        </w:numPr>
        <w:spacing w:after="0" w:line="360" w:lineRule="auto"/>
        <w:jc w:val="both"/>
        <w:rPr>
          <w:rFonts w:ascii="Times New Roman" w:hAnsi="Times New Roman" w:cs="Times New Roman"/>
          <w:b/>
          <w:bCs/>
          <w:sz w:val="24"/>
          <w:szCs w:val="24"/>
        </w:rPr>
      </w:pPr>
      <w:r w:rsidRPr="00E36734">
        <w:rPr>
          <w:rFonts w:ascii="Times New Roman" w:hAnsi="Times New Roman" w:cs="Times New Roman"/>
          <w:b/>
          <w:bCs/>
          <w:sz w:val="24"/>
          <w:szCs w:val="24"/>
        </w:rPr>
        <w:t>Από το 63,7% των επιχειρήσεων που χρηματοδοτήθηκαν μέσω των επιστρεπτέων προκαταβολών:</w:t>
      </w:r>
    </w:p>
    <w:p w14:paraId="0673101E" w14:textId="7F7D01B4" w:rsidR="00696AF7" w:rsidRPr="00E36734" w:rsidRDefault="00696AF7" w:rsidP="00A23BA0">
      <w:pPr>
        <w:pStyle w:val="a5"/>
        <w:numPr>
          <w:ilvl w:val="1"/>
          <w:numId w:val="19"/>
        </w:numPr>
        <w:spacing w:after="0" w:line="360" w:lineRule="auto"/>
        <w:jc w:val="both"/>
        <w:rPr>
          <w:rFonts w:ascii="Times New Roman" w:hAnsi="Times New Roman" w:cs="Times New Roman"/>
          <w:b/>
          <w:bCs/>
          <w:sz w:val="24"/>
          <w:szCs w:val="24"/>
        </w:rPr>
      </w:pPr>
      <w:r w:rsidRPr="00E36734">
        <w:rPr>
          <w:rFonts w:ascii="Times New Roman" w:hAnsi="Times New Roman" w:cs="Times New Roman"/>
          <w:b/>
          <w:bCs/>
          <w:sz w:val="24"/>
          <w:szCs w:val="24"/>
        </w:rPr>
        <w:t>Το 54,1% έλαβ</w:t>
      </w:r>
      <w:r w:rsidR="00C80938" w:rsidRPr="00E36734">
        <w:rPr>
          <w:rFonts w:ascii="Times New Roman" w:hAnsi="Times New Roman" w:cs="Times New Roman"/>
          <w:b/>
          <w:bCs/>
          <w:sz w:val="24"/>
          <w:szCs w:val="24"/>
        </w:rPr>
        <w:t>ε</w:t>
      </w:r>
      <w:r w:rsidRPr="00E36734">
        <w:rPr>
          <w:rFonts w:ascii="Times New Roman" w:hAnsi="Times New Roman" w:cs="Times New Roman"/>
          <w:b/>
          <w:bCs/>
          <w:sz w:val="24"/>
          <w:szCs w:val="24"/>
        </w:rPr>
        <w:t xml:space="preserve"> χρηματοδότηση ύψους έως 5.000€, </w:t>
      </w:r>
    </w:p>
    <w:p w14:paraId="4A6D2820" w14:textId="7BAA995F" w:rsidR="00696AF7" w:rsidRPr="00E36734" w:rsidRDefault="00696AF7" w:rsidP="00F45994">
      <w:pPr>
        <w:pStyle w:val="a5"/>
        <w:numPr>
          <w:ilvl w:val="1"/>
          <w:numId w:val="19"/>
        </w:numPr>
        <w:spacing w:after="0" w:line="360" w:lineRule="auto"/>
        <w:jc w:val="both"/>
        <w:rPr>
          <w:rFonts w:ascii="Times New Roman" w:hAnsi="Times New Roman" w:cs="Times New Roman"/>
          <w:b/>
          <w:bCs/>
          <w:sz w:val="24"/>
          <w:szCs w:val="24"/>
        </w:rPr>
      </w:pPr>
      <w:r w:rsidRPr="00E36734">
        <w:rPr>
          <w:rFonts w:ascii="Times New Roman" w:hAnsi="Times New Roman" w:cs="Times New Roman"/>
          <w:b/>
          <w:bCs/>
          <w:sz w:val="24"/>
          <w:szCs w:val="24"/>
        </w:rPr>
        <w:t xml:space="preserve">Το 59% δήλωσε πως η ενίσχυση που έλαβε δεν ήταν αρκετή για να καλύψει ένα σημαντικό μέρος των αναγκών </w:t>
      </w:r>
      <w:r w:rsidR="00C80938" w:rsidRPr="00E36734">
        <w:rPr>
          <w:rFonts w:ascii="Times New Roman" w:hAnsi="Times New Roman" w:cs="Times New Roman"/>
          <w:b/>
          <w:bCs/>
          <w:sz w:val="24"/>
          <w:szCs w:val="24"/>
        </w:rPr>
        <w:t xml:space="preserve">τους. </w:t>
      </w:r>
    </w:p>
    <w:p w14:paraId="2BB9056B" w14:textId="58A93C26" w:rsidR="00696AF7" w:rsidRPr="00E36734" w:rsidRDefault="00696AF7" w:rsidP="00C80938">
      <w:pPr>
        <w:pStyle w:val="a5"/>
        <w:spacing w:after="0" w:line="360" w:lineRule="auto"/>
        <w:ind w:left="1440"/>
        <w:jc w:val="both"/>
        <w:rPr>
          <w:rFonts w:ascii="Times New Roman" w:hAnsi="Times New Roman" w:cs="Times New Roman"/>
          <w:sz w:val="24"/>
          <w:szCs w:val="24"/>
        </w:rPr>
      </w:pPr>
    </w:p>
    <w:p w14:paraId="2E706752" w14:textId="77777777" w:rsidR="00761263" w:rsidRPr="00E36734" w:rsidRDefault="00761263" w:rsidP="00761263">
      <w:pPr>
        <w:spacing w:after="0" w:line="360" w:lineRule="auto"/>
        <w:jc w:val="both"/>
        <w:rPr>
          <w:rFonts w:ascii="Times New Roman" w:eastAsia="Times New Roman" w:hAnsi="Times New Roman" w:cs="Times New Roman"/>
          <w:b/>
          <w:color w:val="E36C0A"/>
          <w:sz w:val="24"/>
          <w:szCs w:val="24"/>
          <w:lang w:eastAsia="el-GR"/>
        </w:rPr>
      </w:pPr>
    </w:p>
    <w:p w14:paraId="2F52B44B" w14:textId="77777777" w:rsidR="000948E7" w:rsidRPr="00E36734" w:rsidRDefault="000948E7" w:rsidP="00761263">
      <w:pPr>
        <w:spacing w:after="0" w:line="360" w:lineRule="auto"/>
        <w:jc w:val="both"/>
        <w:rPr>
          <w:rFonts w:ascii="Times New Roman" w:hAnsi="Times New Roman" w:cs="Times New Roman"/>
          <w:sz w:val="24"/>
          <w:szCs w:val="24"/>
        </w:rPr>
      </w:pPr>
    </w:p>
    <w:p w14:paraId="12DB77CB" w14:textId="77777777" w:rsidR="000948E7" w:rsidRPr="00E36734" w:rsidRDefault="000948E7" w:rsidP="00761263">
      <w:pPr>
        <w:spacing w:after="0" w:line="360" w:lineRule="auto"/>
        <w:jc w:val="both"/>
        <w:rPr>
          <w:rFonts w:ascii="Times New Roman" w:hAnsi="Times New Roman" w:cs="Times New Roman"/>
          <w:sz w:val="24"/>
          <w:szCs w:val="24"/>
        </w:rPr>
      </w:pPr>
    </w:p>
    <w:p w14:paraId="0FB33C49" w14:textId="77777777" w:rsidR="00ED02ED" w:rsidRPr="00E36734" w:rsidRDefault="00ED02ED" w:rsidP="00761263">
      <w:pPr>
        <w:spacing w:after="0" w:line="360" w:lineRule="auto"/>
        <w:jc w:val="both"/>
        <w:rPr>
          <w:rFonts w:ascii="Times New Roman" w:eastAsia="Times New Roman" w:hAnsi="Times New Roman" w:cs="Times New Roman"/>
          <w:b/>
          <w:color w:val="E36C0A"/>
          <w:sz w:val="24"/>
          <w:szCs w:val="24"/>
          <w:lang w:eastAsia="el-GR"/>
        </w:rPr>
      </w:pPr>
    </w:p>
    <w:p w14:paraId="63BBC760" w14:textId="77777777" w:rsidR="00ED02ED" w:rsidRPr="00E36734" w:rsidRDefault="00ED02ED" w:rsidP="00761263">
      <w:pPr>
        <w:spacing w:after="0" w:line="360" w:lineRule="auto"/>
        <w:jc w:val="both"/>
        <w:rPr>
          <w:rFonts w:ascii="Times New Roman" w:eastAsia="Times New Roman" w:hAnsi="Times New Roman" w:cs="Times New Roman"/>
          <w:b/>
          <w:color w:val="E36C0A"/>
          <w:sz w:val="24"/>
          <w:szCs w:val="24"/>
          <w:lang w:eastAsia="el-GR"/>
        </w:rPr>
      </w:pPr>
    </w:p>
    <w:p w14:paraId="68D0A355" w14:textId="77777777" w:rsidR="00ED02ED" w:rsidRPr="00E36734" w:rsidRDefault="00ED02ED" w:rsidP="00761263">
      <w:pPr>
        <w:spacing w:after="0" w:line="360" w:lineRule="auto"/>
        <w:jc w:val="both"/>
        <w:rPr>
          <w:rFonts w:ascii="Times New Roman" w:eastAsia="Times New Roman" w:hAnsi="Times New Roman" w:cs="Times New Roman"/>
          <w:b/>
          <w:color w:val="E36C0A"/>
          <w:sz w:val="24"/>
          <w:szCs w:val="24"/>
          <w:lang w:eastAsia="el-GR"/>
        </w:rPr>
      </w:pPr>
    </w:p>
    <w:p w14:paraId="21E429C3" w14:textId="4D66328E" w:rsidR="006D0D98" w:rsidRPr="00E36734" w:rsidRDefault="00A9257F" w:rsidP="00761263">
      <w:pPr>
        <w:spacing w:after="0" w:line="360" w:lineRule="auto"/>
        <w:jc w:val="both"/>
        <w:rPr>
          <w:rFonts w:ascii="Times New Roman" w:eastAsia="Times New Roman" w:hAnsi="Times New Roman" w:cs="Times New Roman"/>
          <w:b/>
          <w:color w:val="1F497D" w:themeColor="text2"/>
          <w:sz w:val="28"/>
          <w:szCs w:val="28"/>
          <w:u w:val="single"/>
          <w:lang w:eastAsia="el-GR"/>
        </w:rPr>
      </w:pPr>
      <w:r w:rsidRPr="00E36734">
        <w:rPr>
          <w:rFonts w:ascii="Times New Roman" w:eastAsia="Times New Roman" w:hAnsi="Times New Roman" w:cs="Times New Roman"/>
          <w:b/>
          <w:color w:val="1F497D" w:themeColor="text2"/>
          <w:sz w:val="28"/>
          <w:szCs w:val="28"/>
          <w:u w:val="single"/>
          <w:lang w:eastAsia="el-GR"/>
        </w:rPr>
        <w:lastRenderedPageBreak/>
        <w:t xml:space="preserve">ΑΝΑΛΥΤΙΚΗ ΠΑΡΟΥΣΙΑΣΗ - ΑΠΟΤΕΛΕΣΜΑΤΑ ΕΡΕΥΝΑΣ </w:t>
      </w:r>
    </w:p>
    <w:p w14:paraId="7D573BF4" w14:textId="77777777" w:rsidR="00A9257F" w:rsidRPr="00E36734" w:rsidRDefault="00A9257F" w:rsidP="00761263">
      <w:pPr>
        <w:pStyle w:val="a5"/>
        <w:numPr>
          <w:ilvl w:val="0"/>
          <w:numId w:val="1"/>
        </w:numPr>
        <w:spacing w:after="0" w:line="360" w:lineRule="auto"/>
        <w:jc w:val="both"/>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ΑΠΟΤΙΜΗΣΗ </w:t>
      </w:r>
      <w:r w:rsidR="00D42B3B" w:rsidRPr="00E36734">
        <w:rPr>
          <w:rFonts w:ascii="Times New Roman" w:eastAsia="Times New Roman" w:hAnsi="Times New Roman" w:cs="Times New Roman"/>
          <w:b/>
          <w:sz w:val="24"/>
          <w:szCs w:val="24"/>
          <w:lang w:val="en-US" w:eastAsia="el-GR"/>
        </w:rPr>
        <w:t>B</w:t>
      </w:r>
      <w:r w:rsidRPr="00E36734">
        <w:rPr>
          <w:rFonts w:ascii="Times New Roman" w:eastAsia="Times New Roman" w:hAnsi="Times New Roman" w:cs="Times New Roman"/>
          <w:b/>
          <w:sz w:val="24"/>
          <w:szCs w:val="24"/>
          <w:lang w:eastAsia="el-GR"/>
        </w:rPr>
        <w:t xml:space="preserve"> ΕΞΑΜΗΝΟΥ </w:t>
      </w:r>
      <w:r w:rsidRPr="00E36734">
        <w:rPr>
          <w:rFonts w:ascii="Times New Roman" w:eastAsia="Times New Roman" w:hAnsi="Times New Roman" w:cs="Times New Roman"/>
          <w:b/>
          <w:sz w:val="24"/>
          <w:szCs w:val="24"/>
          <w:lang w:val="en-US" w:eastAsia="el-GR"/>
        </w:rPr>
        <w:t>2020</w:t>
      </w:r>
    </w:p>
    <w:p w14:paraId="506E6D6B" w14:textId="77DC5465" w:rsidR="00F87B2B" w:rsidRPr="00E36734" w:rsidRDefault="00F87B2B" w:rsidP="00F87B2B">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Οι επιπτώσεις της υγειονομικής κρίσης</w:t>
      </w:r>
      <w:r w:rsidR="0053342E"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που στην οικονομία έχει εκδηλωθεί με την</w:t>
      </w:r>
      <w:r w:rsidR="001465D5" w:rsidRPr="00E36734">
        <w:rPr>
          <w:rFonts w:ascii="Times New Roman" w:eastAsia="Times New Roman" w:hAnsi="Times New Roman" w:cs="Times New Roman"/>
          <w:bCs/>
          <w:sz w:val="24"/>
          <w:szCs w:val="24"/>
          <w:lang w:eastAsia="el-GR"/>
        </w:rPr>
        <w:t xml:space="preserve"> μορφή της</w:t>
      </w:r>
      <w:r w:rsidRPr="00E36734">
        <w:rPr>
          <w:rFonts w:ascii="Times New Roman" w:eastAsia="Times New Roman" w:hAnsi="Times New Roman" w:cs="Times New Roman"/>
          <w:bCs/>
          <w:sz w:val="24"/>
          <w:szCs w:val="24"/>
          <w:lang w:eastAsia="el-GR"/>
        </w:rPr>
        <w:t xml:space="preserve"> βαθ</w:t>
      </w:r>
      <w:r w:rsidR="001465D5" w:rsidRPr="00E36734">
        <w:rPr>
          <w:rFonts w:ascii="Times New Roman" w:eastAsia="Times New Roman" w:hAnsi="Times New Roman" w:cs="Times New Roman"/>
          <w:bCs/>
          <w:sz w:val="24"/>
          <w:szCs w:val="24"/>
          <w:lang w:eastAsia="el-GR"/>
        </w:rPr>
        <w:t>ι</w:t>
      </w:r>
      <w:r w:rsidRPr="00E36734">
        <w:rPr>
          <w:rFonts w:ascii="Times New Roman" w:eastAsia="Times New Roman" w:hAnsi="Times New Roman" w:cs="Times New Roman"/>
          <w:bCs/>
          <w:sz w:val="24"/>
          <w:szCs w:val="24"/>
          <w:lang w:eastAsia="el-GR"/>
        </w:rPr>
        <w:t>ά</w:t>
      </w:r>
      <w:r w:rsidR="001465D5" w:rsidRPr="00E36734">
        <w:rPr>
          <w:rFonts w:ascii="Times New Roman" w:eastAsia="Times New Roman" w:hAnsi="Times New Roman" w:cs="Times New Roman"/>
          <w:bCs/>
          <w:sz w:val="24"/>
          <w:szCs w:val="24"/>
          <w:lang w:eastAsia="el-GR"/>
        </w:rPr>
        <w:t>ς</w:t>
      </w:r>
      <w:r w:rsidRPr="00E36734">
        <w:rPr>
          <w:rFonts w:ascii="Times New Roman" w:eastAsia="Times New Roman" w:hAnsi="Times New Roman" w:cs="Times New Roman"/>
          <w:bCs/>
          <w:sz w:val="24"/>
          <w:szCs w:val="24"/>
          <w:lang w:eastAsia="el-GR"/>
        </w:rPr>
        <w:t xml:space="preserve"> και απότομη</w:t>
      </w:r>
      <w:r w:rsidR="001465D5" w:rsidRPr="00E36734">
        <w:rPr>
          <w:rFonts w:ascii="Times New Roman" w:eastAsia="Times New Roman" w:hAnsi="Times New Roman" w:cs="Times New Roman"/>
          <w:bCs/>
          <w:sz w:val="24"/>
          <w:szCs w:val="24"/>
          <w:lang w:eastAsia="el-GR"/>
        </w:rPr>
        <w:t>ς</w:t>
      </w:r>
      <w:r w:rsidRPr="00E36734">
        <w:rPr>
          <w:rFonts w:ascii="Times New Roman" w:eastAsia="Times New Roman" w:hAnsi="Times New Roman" w:cs="Times New Roman"/>
          <w:bCs/>
          <w:sz w:val="24"/>
          <w:szCs w:val="24"/>
          <w:lang w:eastAsia="el-GR"/>
        </w:rPr>
        <w:t xml:space="preserve"> </w:t>
      </w:r>
      <w:r w:rsidR="001465D5" w:rsidRPr="00E36734">
        <w:rPr>
          <w:rFonts w:ascii="Times New Roman" w:eastAsia="Times New Roman" w:hAnsi="Times New Roman" w:cs="Times New Roman"/>
          <w:bCs/>
          <w:sz w:val="24"/>
          <w:szCs w:val="24"/>
          <w:lang w:eastAsia="el-GR"/>
        </w:rPr>
        <w:t>ύφεσης</w:t>
      </w:r>
      <w:r w:rsidR="005E0770" w:rsidRPr="00E36734">
        <w:rPr>
          <w:rFonts w:ascii="Times New Roman" w:eastAsia="Times New Roman" w:hAnsi="Times New Roman" w:cs="Times New Roman"/>
          <w:bCs/>
          <w:sz w:val="24"/>
          <w:szCs w:val="24"/>
          <w:lang w:eastAsia="el-GR"/>
        </w:rPr>
        <w:t>, όπως είναι επόμενο,</w:t>
      </w:r>
      <w:r w:rsidR="001465D5" w:rsidRPr="00E36734">
        <w:rPr>
          <w:rFonts w:ascii="Times New Roman" w:eastAsia="Times New Roman" w:hAnsi="Times New Roman" w:cs="Times New Roman"/>
          <w:bCs/>
          <w:sz w:val="24"/>
          <w:szCs w:val="24"/>
          <w:lang w:eastAsia="el-GR"/>
        </w:rPr>
        <w:t xml:space="preserve"> έχουν επηρεάσει δυσμενώς την οικονομική κατάσταση των μικρών και πολύ μικρών επιχειρήσεων. Αυτό άλλωστε αποτυπώθηκε και στην αντίστοιχη έρευνα του ΙΜΕ ΓΣΕΒΕΕ για το Α εξάμηνο του 2020 όπου καταγράφηκε σοβαρή πτώση όλων των βασικών δεικτών που προσδιορίζουν την κατάσταση που βρίσκονται οι μικρές και πολύ μικρές επιχειρήσεις. </w:t>
      </w:r>
    </w:p>
    <w:p w14:paraId="5D043FDD" w14:textId="5FD829B4" w:rsidR="001465D5" w:rsidRPr="00E36734" w:rsidRDefault="001465D5"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Τα ευρήματα της έρευνας για το Β εξάμηνο του 2020 </w:t>
      </w:r>
      <w:r w:rsidR="003B2986" w:rsidRPr="00E36734">
        <w:rPr>
          <w:rFonts w:ascii="Times New Roman" w:eastAsia="Times New Roman" w:hAnsi="Times New Roman" w:cs="Times New Roman"/>
          <w:bCs/>
          <w:sz w:val="24"/>
          <w:szCs w:val="24"/>
          <w:lang w:eastAsia="el-GR"/>
        </w:rPr>
        <w:t>καταδεικνύουν πως η</w:t>
      </w:r>
      <w:r w:rsidR="00C378B7" w:rsidRPr="00E36734">
        <w:rPr>
          <w:rFonts w:ascii="Times New Roman" w:eastAsia="Times New Roman" w:hAnsi="Times New Roman" w:cs="Times New Roman"/>
          <w:bCs/>
          <w:sz w:val="24"/>
          <w:szCs w:val="24"/>
          <w:lang w:eastAsia="el-GR"/>
        </w:rPr>
        <w:t xml:space="preserve"> κατάσταση</w:t>
      </w:r>
      <w:r w:rsidRPr="00E36734">
        <w:rPr>
          <w:rFonts w:ascii="Times New Roman" w:eastAsia="Times New Roman" w:hAnsi="Times New Roman" w:cs="Times New Roman"/>
          <w:bCs/>
          <w:sz w:val="24"/>
          <w:szCs w:val="24"/>
          <w:lang w:eastAsia="el-GR"/>
        </w:rPr>
        <w:t xml:space="preserve"> παραμένει </w:t>
      </w:r>
      <w:r w:rsidR="003B2986" w:rsidRPr="00E36734">
        <w:rPr>
          <w:rFonts w:ascii="Times New Roman" w:eastAsia="Times New Roman" w:hAnsi="Times New Roman" w:cs="Times New Roman"/>
          <w:bCs/>
          <w:sz w:val="24"/>
          <w:szCs w:val="24"/>
          <w:lang w:eastAsia="el-GR"/>
        </w:rPr>
        <w:t>δυσμενής</w:t>
      </w:r>
      <w:r w:rsidRPr="00E36734">
        <w:rPr>
          <w:rFonts w:ascii="Times New Roman" w:eastAsia="Times New Roman" w:hAnsi="Times New Roman" w:cs="Times New Roman"/>
          <w:bCs/>
          <w:sz w:val="24"/>
          <w:szCs w:val="24"/>
          <w:lang w:eastAsia="el-GR"/>
        </w:rPr>
        <w:t xml:space="preserve">. </w:t>
      </w:r>
    </w:p>
    <w:p w14:paraId="7CD1453D" w14:textId="2DDF0E11" w:rsidR="008C7FF0" w:rsidRPr="00E36734" w:rsidRDefault="001465D5" w:rsidP="008C7FF0">
      <w:pPr>
        <w:spacing w:after="0" w:line="360" w:lineRule="auto"/>
        <w:jc w:val="both"/>
        <w:rPr>
          <w:rFonts w:ascii="Times New Roman" w:eastAsia="Times New Roman" w:hAnsi="Times New Roman" w:cs="Times New Roman"/>
          <w:bCs/>
          <w:sz w:val="24"/>
          <w:szCs w:val="24"/>
          <w:lang w:eastAsia="el-GR"/>
        </w:rPr>
      </w:pPr>
      <w:bookmarkStart w:id="2" w:name="_Hlk68074308"/>
      <w:bookmarkStart w:id="3" w:name="_Hlk68074374"/>
      <w:r w:rsidRPr="00E36734">
        <w:rPr>
          <w:rFonts w:ascii="Times New Roman" w:eastAsia="Times New Roman" w:hAnsi="Times New Roman" w:cs="Times New Roman"/>
          <w:bCs/>
          <w:sz w:val="24"/>
          <w:szCs w:val="24"/>
          <w:lang w:eastAsia="el-GR"/>
        </w:rPr>
        <w:t>Ο γενικός δείκτης οικονομικού κλίματος το Β εξάμηνο του 2020 διατηρείται σε εξαιρετικά χαμηλό επίπεδο καθώς διαμορφώνεται στις 20,1 μονάδες</w:t>
      </w:r>
      <w:bookmarkEnd w:id="2"/>
      <w:r w:rsidRPr="00E36734">
        <w:rPr>
          <w:rFonts w:ascii="Times New Roman" w:eastAsia="Times New Roman" w:hAnsi="Times New Roman" w:cs="Times New Roman"/>
          <w:bCs/>
          <w:sz w:val="24"/>
          <w:szCs w:val="24"/>
          <w:lang w:eastAsia="el-GR"/>
        </w:rPr>
        <w:t xml:space="preserve">. </w:t>
      </w:r>
      <w:bookmarkEnd w:id="3"/>
    </w:p>
    <w:p w14:paraId="021FBD0C" w14:textId="70B04363" w:rsidR="005E0770" w:rsidRPr="00E36734" w:rsidRDefault="001538D2"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Η εκδήλωση της πανδημικής κρίσης </w:t>
      </w:r>
      <w:r w:rsidR="00ED2A9D" w:rsidRPr="00E36734">
        <w:rPr>
          <w:rFonts w:ascii="Times New Roman" w:eastAsia="Times New Roman" w:hAnsi="Times New Roman" w:cs="Times New Roman"/>
          <w:bCs/>
          <w:sz w:val="24"/>
          <w:szCs w:val="24"/>
          <w:lang w:eastAsia="el-GR"/>
        </w:rPr>
        <w:t>αναδεικνύει</w:t>
      </w:r>
      <w:r w:rsidRPr="00E36734">
        <w:rPr>
          <w:rFonts w:ascii="Times New Roman" w:eastAsia="Times New Roman" w:hAnsi="Times New Roman" w:cs="Times New Roman"/>
          <w:bCs/>
          <w:sz w:val="24"/>
          <w:szCs w:val="24"/>
          <w:lang w:eastAsia="el-GR"/>
        </w:rPr>
        <w:t xml:space="preserve"> </w:t>
      </w:r>
      <w:r w:rsidR="005E0770" w:rsidRPr="00E36734">
        <w:rPr>
          <w:rFonts w:ascii="Times New Roman" w:eastAsia="Times New Roman" w:hAnsi="Times New Roman" w:cs="Times New Roman"/>
          <w:bCs/>
          <w:sz w:val="24"/>
          <w:szCs w:val="24"/>
          <w:lang w:eastAsia="el-GR"/>
        </w:rPr>
        <w:t xml:space="preserve">πως </w:t>
      </w:r>
      <w:r w:rsidRPr="00E36734">
        <w:rPr>
          <w:rFonts w:ascii="Times New Roman" w:eastAsia="Times New Roman" w:hAnsi="Times New Roman" w:cs="Times New Roman"/>
          <w:bCs/>
          <w:sz w:val="24"/>
          <w:szCs w:val="24"/>
          <w:lang w:eastAsia="el-GR"/>
        </w:rPr>
        <w:t xml:space="preserve">τα </w:t>
      </w:r>
      <w:r w:rsidR="005E0770" w:rsidRPr="00E36734">
        <w:rPr>
          <w:rFonts w:ascii="Times New Roman" w:eastAsia="Times New Roman" w:hAnsi="Times New Roman" w:cs="Times New Roman"/>
          <w:bCs/>
          <w:sz w:val="24"/>
          <w:szCs w:val="24"/>
          <w:lang w:eastAsia="el-GR"/>
        </w:rPr>
        <w:t xml:space="preserve">χρόνια διαρθρωτικά προβλήματα που αντιμετωπίζουν </w:t>
      </w:r>
      <w:r w:rsidR="008C7FF0" w:rsidRPr="00E36734">
        <w:rPr>
          <w:rFonts w:ascii="Times New Roman" w:eastAsia="Times New Roman" w:hAnsi="Times New Roman" w:cs="Times New Roman"/>
          <w:bCs/>
          <w:sz w:val="24"/>
          <w:szCs w:val="24"/>
          <w:lang w:eastAsia="el-GR"/>
        </w:rPr>
        <w:t xml:space="preserve">μικρές και πολύ μικρές </w:t>
      </w:r>
      <w:r w:rsidR="0053342E" w:rsidRPr="00E36734">
        <w:rPr>
          <w:rFonts w:ascii="Times New Roman" w:eastAsia="Times New Roman" w:hAnsi="Times New Roman" w:cs="Times New Roman"/>
          <w:bCs/>
          <w:sz w:val="24"/>
          <w:szCs w:val="24"/>
          <w:lang w:eastAsia="el-GR"/>
        </w:rPr>
        <w:t>επιχειρήσεις,</w:t>
      </w:r>
      <w:r w:rsidR="005E0770" w:rsidRPr="00E36734">
        <w:rPr>
          <w:rFonts w:ascii="Times New Roman" w:eastAsia="Times New Roman" w:hAnsi="Times New Roman" w:cs="Times New Roman"/>
          <w:bCs/>
          <w:sz w:val="24"/>
          <w:szCs w:val="24"/>
          <w:lang w:eastAsia="el-GR"/>
        </w:rPr>
        <w:t xml:space="preserve"> τα οποία εντάθηκαν κατά την προηγούμενη δεκαετή οικονομική κρίση</w:t>
      </w:r>
      <w:r w:rsidR="0053342E" w:rsidRPr="00E36734">
        <w:rPr>
          <w:rFonts w:ascii="Times New Roman" w:eastAsia="Times New Roman" w:hAnsi="Times New Roman" w:cs="Times New Roman"/>
          <w:bCs/>
          <w:sz w:val="24"/>
          <w:szCs w:val="24"/>
          <w:lang w:eastAsia="el-GR"/>
        </w:rPr>
        <w:t>,</w:t>
      </w:r>
      <w:r w:rsidR="005E0770" w:rsidRPr="00E36734">
        <w:rPr>
          <w:rFonts w:ascii="Times New Roman" w:eastAsia="Times New Roman" w:hAnsi="Times New Roman" w:cs="Times New Roman"/>
          <w:bCs/>
          <w:sz w:val="24"/>
          <w:szCs w:val="24"/>
          <w:lang w:eastAsia="el-GR"/>
        </w:rPr>
        <w:t xml:space="preserve"> έχουν </w:t>
      </w:r>
      <w:r w:rsidR="0053342E" w:rsidRPr="00E36734">
        <w:rPr>
          <w:rFonts w:ascii="Times New Roman" w:eastAsia="Times New Roman" w:hAnsi="Times New Roman" w:cs="Times New Roman"/>
          <w:bCs/>
          <w:sz w:val="24"/>
          <w:szCs w:val="24"/>
          <w:lang w:eastAsia="el-GR"/>
        </w:rPr>
        <w:t>αποδυναμώσει</w:t>
      </w:r>
      <w:r w:rsidR="005E0770" w:rsidRPr="00E36734">
        <w:rPr>
          <w:rFonts w:ascii="Times New Roman" w:eastAsia="Times New Roman" w:hAnsi="Times New Roman" w:cs="Times New Roman"/>
          <w:bCs/>
          <w:sz w:val="24"/>
          <w:szCs w:val="24"/>
          <w:lang w:eastAsia="el-GR"/>
        </w:rPr>
        <w:t xml:space="preserve"> </w:t>
      </w:r>
      <w:r w:rsidR="0053342E" w:rsidRPr="00E36734">
        <w:rPr>
          <w:rFonts w:ascii="Times New Roman" w:eastAsia="Times New Roman" w:hAnsi="Times New Roman" w:cs="Times New Roman"/>
          <w:bCs/>
          <w:sz w:val="24"/>
          <w:szCs w:val="24"/>
          <w:lang w:eastAsia="el-GR"/>
        </w:rPr>
        <w:t>τις δυνατότητες</w:t>
      </w:r>
      <w:r w:rsidR="005E0770" w:rsidRPr="00E36734">
        <w:rPr>
          <w:rFonts w:ascii="Times New Roman" w:eastAsia="Times New Roman" w:hAnsi="Times New Roman" w:cs="Times New Roman"/>
          <w:bCs/>
          <w:sz w:val="24"/>
          <w:szCs w:val="24"/>
          <w:lang w:eastAsia="el-GR"/>
        </w:rPr>
        <w:t xml:space="preserve"> τους να ανταπεξέλθουν </w:t>
      </w:r>
      <w:r w:rsidR="006C1482" w:rsidRPr="00E36734">
        <w:rPr>
          <w:rFonts w:ascii="Times New Roman" w:eastAsia="Times New Roman" w:hAnsi="Times New Roman" w:cs="Times New Roman"/>
          <w:bCs/>
          <w:sz w:val="24"/>
          <w:szCs w:val="24"/>
          <w:lang w:eastAsia="el-GR"/>
        </w:rPr>
        <w:t>σ</w:t>
      </w:r>
      <w:r w:rsidR="005E0770" w:rsidRPr="00E36734">
        <w:rPr>
          <w:rFonts w:ascii="Times New Roman" w:eastAsia="Times New Roman" w:hAnsi="Times New Roman" w:cs="Times New Roman"/>
          <w:bCs/>
          <w:sz w:val="24"/>
          <w:szCs w:val="24"/>
          <w:lang w:eastAsia="el-GR"/>
        </w:rPr>
        <w:t xml:space="preserve">τις επιπτώσεις της νέας υφεσιακής περιόδου.  </w:t>
      </w:r>
    </w:p>
    <w:p w14:paraId="3EA5E4E0" w14:textId="74B26121" w:rsidR="009D0035" w:rsidRPr="00E36734" w:rsidRDefault="004B7C0A"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Αυτό φαίνεται από το εξαιρετικά χαμηλό επίπεδο στο οποίο παραμένει ο δείκτης οικονομικού κλίματος των</w:t>
      </w:r>
      <w:r w:rsidR="003E70BF" w:rsidRPr="00E36734">
        <w:rPr>
          <w:rFonts w:ascii="Times New Roman" w:eastAsia="Times New Roman" w:hAnsi="Times New Roman" w:cs="Times New Roman"/>
          <w:bCs/>
          <w:sz w:val="24"/>
          <w:szCs w:val="24"/>
          <w:lang w:eastAsia="el-GR"/>
        </w:rPr>
        <w:t xml:space="preserve"> ελληνικών ΜΜΕ, συγκρίνοντας τον με τους αντίστοιχους δείκτες του Ευρωβαρομέτρου που εκπονεί η </w:t>
      </w:r>
      <w:r w:rsidR="003E70BF" w:rsidRPr="00E36734">
        <w:rPr>
          <w:rFonts w:ascii="Times New Roman" w:eastAsia="Times New Roman" w:hAnsi="Times New Roman" w:cs="Times New Roman"/>
          <w:bCs/>
          <w:sz w:val="24"/>
          <w:szCs w:val="24"/>
          <w:lang w:val="en-US" w:eastAsia="el-GR"/>
        </w:rPr>
        <w:t>SME</w:t>
      </w:r>
      <w:r w:rsidR="003E70BF" w:rsidRPr="00E36734">
        <w:rPr>
          <w:rFonts w:ascii="Times New Roman" w:eastAsia="Times New Roman" w:hAnsi="Times New Roman" w:cs="Times New Roman"/>
          <w:bCs/>
          <w:sz w:val="24"/>
          <w:szCs w:val="24"/>
          <w:lang w:eastAsia="el-GR"/>
        </w:rPr>
        <w:t xml:space="preserve"> </w:t>
      </w:r>
      <w:r w:rsidR="003E70BF" w:rsidRPr="00E36734">
        <w:rPr>
          <w:rFonts w:ascii="Times New Roman" w:eastAsia="Times New Roman" w:hAnsi="Times New Roman" w:cs="Times New Roman"/>
          <w:bCs/>
          <w:sz w:val="24"/>
          <w:szCs w:val="24"/>
          <w:lang w:val="en-US" w:eastAsia="el-GR"/>
        </w:rPr>
        <w:t>United</w:t>
      </w:r>
      <w:r w:rsidR="003E70BF" w:rsidRPr="00E36734">
        <w:rPr>
          <w:rFonts w:ascii="Times New Roman" w:eastAsia="Times New Roman" w:hAnsi="Times New Roman" w:cs="Times New Roman"/>
          <w:bCs/>
          <w:sz w:val="24"/>
          <w:szCs w:val="24"/>
          <w:lang w:eastAsia="el-GR"/>
        </w:rPr>
        <w:t xml:space="preserve"> (Ευρωπαϊκή Συνομοσπονδία ΜΜΕ)</w:t>
      </w:r>
      <w:r w:rsidR="0082015F" w:rsidRPr="00E36734">
        <w:rPr>
          <w:rFonts w:ascii="Times New Roman" w:eastAsia="Times New Roman" w:hAnsi="Times New Roman" w:cs="Times New Roman"/>
          <w:bCs/>
          <w:sz w:val="24"/>
          <w:szCs w:val="24"/>
          <w:lang w:eastAsia="el-GR"/>
        </w:rPr>
        <w:t xml:space="preserve"> σε εξαμηνιαία βάση</w:t>
      </w:r>
      <w:r w:rsidR="003E70BF" w:rsidRPr="00E36734">
        <w:rPr>
          <w:rFonts w:ascii="Times New Roman" w:eastAsia="Times New Roman" w:hAnsi="Times New Roman" w:cs="Times New Roman"/>
          <w:bCs/>
          <w:sz w:val="24"/>
          <w:szCs w:val="24"/>
          <w:lang w:eastAsia="el-GR"/>
        </w:rPr>
        <w:t>.</w:t>
      </w:r>
      <w:r w:rsidR="0082015F" w:rsidRPr="00E36734">
        <w:rPr>
          <w:rFonts w:ascii="Times New Roman" w:eastAsia="Times New Roman" w:hAnsi="Times New Roman" w:cs="Times New Roman"/>
          <w:bCs/>
          <w:sz w:val="24"/>
          <w:szCs w:val="24"/>
          <w:lang w:eastAsia="el-GR"/>
        </w:rPr>
        <w:t xml:space="preserve"> </w:t>
      </w:r>
      <w:r w:rsidR="003E70BF" w:rsidRPr="00E36734">
        <w:rPr>
          <w:rFonts w:ascii="Times New Roman" w:eastAsia="Times New Roman" w:hAnsi="Times New Roman" w:cs="Times New Roman"/>
          <w:bCs/>
          <w:sz w:val="24"/>
          <w:szCs w:val="24"/>
          <w:lang w:eastAsia="el-GR"/>
        </w:rPr>
        <w:t xml:space="preserve"> </w:t>
      </w:r>
      <w:r w:rsidR="0082015F" w:rsidRPr="00E36734">
        <w:rPr>
          <w:rFonts w:ascii="Times New Roman" w:eastAsia="Times New Roman" w:hAnsi="Times New Roman" w:cs="Times New Roman"/>
          <w:bCs/>
          <w:sz w:val="24"/>
          <w:szCs w:val="24"/>
          <w:lang w:eastAsia="el-GR"/>
        </w:rPr>
        <w:t xml:space="preserve">Όπως φαίνεται στο Γράφημα 1 ενώ το 2019 ο </w:t>
      </w:r>
      <w:r w:rsidR="008A541F" w:rsidRPr="00E36734">
        <w:rPr>
          <w:rFonts w:ascii="Times New Roman" w:eastAsia="Times New Roman" w:hAnsi="Times New Roman" w:cs="Times New Roman"/>
          <w:bCs/>
          <w:sz w:val="24"/>
          <w:szCs w:val="24"/>
          <w:lang w:eastAsia="el-GR"/>
        </w:rPr>
        <w:t>δείκτης</w:t>
      </w:r>
      <w:r w:rsidR="0082015F" w:rsidRPr="00E36734">
        <w:rPr>
          <w:rFonts w:ascii="Times New Roman" w:eastAsia="Times New Roman" w:hAnsi="Times New Roman" w:cs="Times New Roman"/>
          <w:bCs/>
          <w:sz w:val="24"/>
          <w:szCs w:val="24"/>
          <w:lang w:eastAsia="el-GR"/>
        </w:rPr>
        <w:t xml:space="preserve"> οικονομικού κλίματος των </w:t>
      </w:r>
      <w:r w:rsidR="008A541F" w:rsidRPr="00E36734">
        <w:rPr>
          <w:rFonts w:ascii="Times New Roman" w:eastAsia="Times New Roman" w:hAnsi="Times New Roman" w:cs="Times New Roman"/>
          <w:bCs/>
          <w:sz w:val="24"/>
          <w:szCs w:val="24"/>
          <w:lang w:eastAsia="el-GR"/>
        </w:rPr>
        <w:t>ελληνικών</w:t>
      </w:r>
      <w:r w:rsidR="0082015F" w:rsidRPr="00E36734">
        <w:rPr>
          <w:rFonts w:ascii="Times New Roman" w:eastAsia="Times New Roman" w:hAnsi="Times New Roman" w:cs="Times New Roman"/>
          <w:bCs/>
          <w:sz w:val="24"/>
          <w:szCs w:val="24"/>
          <w:lang w:eastAsia="el-GR"/>
        </w:rPr>
        <w:t xml:space="preserve"> ΜΜΕ προσέγγισε</w:t>
      </w:r>
      <w:r w:rsidR="0053342E" w:rsidRPr="00E36734">
        <w:rPr>
          <w:rFonts w:ascii="Times New Roman" w:eastAsia="Times New Roman" w:hAnsi="Times New Roman" w:cs="Times New Roman"/>
          <w:bCs/>
          <w:sz w:val="24"/>
          <w:szCs w:val="24"/>
          <w:lang w:eastAsia="el-GR"/>
        </w:rPr>
        <w:t>,</w:t>
      </w:r>
      <w:r w:rsidR="00D707D5" w:rsidRPr="00E36734">
        <w:rPr>
          <w:rFonts w:ascii="Times New Roman" w:eastAsia="Times New Roman" w:hAnsi="Times New Roman" w:cs="Times New Roman"/>
          <w:bCs/>
          <w:sz w:val="24"/>
          <w:szCs w:val="24"/>
          <w:lang w:eastAsia="el-GR"/>
        </w:rPr>
        <w:t xml:space="preserve"> υστέρα από μια δεκαετία</w:t>
      </w:r>
      <w:r w:rsidR="0082015F" w:rsidRPr="00E36734">
        <w:rPr>
          <w:rFonts w:ascii="Times New Roman" w:eastAsia="Times New Roman" w:hAnsi="Times New Roman" w:cs="Times New Roman"/>
          <w:bCs/>
          <w:sz w:val="24"/>
          <w:szCs w:val="24"/>
          <w:lang w:eastAsia="el-GR"/>
        </w:rPr>
        <w:t xml:space="preserve"> τον </w:t>
      </w:r>
      <w:r w:rsidR="008A541F" w:rsidRPr="00E36734">
        <w:rPr>
          <w:rFonts w:ascii="Times New Roman" w:eastAsia="Times New Roman" w:hAnsi="Times New Roman" w:cs="Times New Roman"/>
          <w:bCs/>
          <w:sz w:val="24"/>
          <w:szCs w:val="24"/>
          <w:lang w:eastAsia="el-GR"/>
        </w:rPr>
        <w:t>ευρωπαϊκό</w:t>
      </w:r>
      <w:r w:rsidR="0082015F" w:rsidRPr="00E36734">
        <w:rPr>
          <w:rFonts w:ascii="Times New Roman" w:eastAsia="Times New Roman" w:hAnsi="Times New Roman" w:cs="Times New Roman"/>
          <w:bCs/>
          <w:sz w:val="24"/>
          <w:szCs w:val="24"/>
          <w:lang w:eastAsia="el-GR"/>
        </w:rPr>
        <w:t xml:space="preserve"> μέσο όρο</w:t>
      </w:r>
      <w:r w:rsidR="0053342E" w:rsidRPr="00E36734">
        <w:rPr>
          <w:rFonts w:ascii="Times New Roman" w:eastAsia="Times New Roman" w:hAnsi="Times New Roman" w:cs="Times New Roman"/>
          <w:bCs/>
          <w:sz w:val="24"/>
          <w:szCs w:val="24"/>
          <w:lang w:eastAsia="el-GR"/>
        </w:rPr>
        <w:t>,</w:t>
      </w:r>
      <w:r w:rsidR="0082015F" w:rsidRPr="00E36734">
        <w:rPr>
          <w:rFonts w:ascii="Times New Roman" w:eastAsia="Times New Roman" w:hAnsi="Times New Roman" w:cs="Times New Roman"/>
          <w:bCs/>
          <w:sz w:val="24"/>
          <w:szCs w:val="24"/>
          <w:lang w:eastAsia="el-GR"/>
        </w:rPr>
        <w:t xml:space="preserve"> η εκδήλωση της </w:t>
      </w:r>
      <w:r w:rsidR="008A541F" w:rsidRPr="00E36734">
        <w:rPr>
          <w:rFonts w:ascii="Times New Roman" w:eastAsia="Times New Roman" w:hAnsi="Times New Roman" w:cs="Times New Roman"/>
          <w:bCs/>
          <w:sz w:val="24"/>
          <w:szCs w:val="24"/>
          <w:lang w:eastAsia="el-GR"/>
        </w:rPr>
        <w:t>πανδημίας</w:t>
      </w:r>
      <w:r w:rsidR="0082015F" w:rsidRPr="00E36734">
        <w:rPr>
          <w:rFonts w:ascii="Times New Roman" w:eastAsia="Times New Roman" w:hAnsi="Times New Roman" w:cs="Times New Roman"/>
          <w:bCs/>
          <w:sz w:val="24"/>
          <w:szCs w:val="24"/>
          <w:lang w:eastAsia="el-GR"/>
        </w:rPr>
        <w:t xml:space="preserve"> του </w:t>
      </w:r>
      <w:r w:rsidR="0082015F" w:rsidRPr="00E36734">
        <w:rPr>
          <w:rFonts w:ascii="Times New Roman" w:eastAsia="Times New Roman" w:hAnsi="Times New Roman" w:cs="Times New Roman"/>
          <w:bCs/>
          <w:sz w:val="24"/>
          <w:szCs w:val="24"/>
          <w:lang w:val="en-US" w:eastAsia="el-GR"/>
        </w:rPr>
        <w:t>Covid</w:t>
      </w:r>
      <w:r w:rsidR="0082015F" w:rsidRPr="00E36734">
        <w:rPr>
          <w:rFonts w:ascii="Times New Roman" w:eastAsia="Times New Roman" w:hAnsi="Times New Roman" w:cs="Times New Roman"/>
          <w:bCs/>
          <w:sz w:val="24"/>
          <w:szCs w:val="24"/>
          <w:lang w:eastAsia="el-GR"/>
        </w:rPr>
        <w:t xml:space="preserve">-19 και η οικονομική </w:t>
      </w:r>
      <w:r w:rsidR="008A541F" w:rsidRPr="00E36734">
        <w:rPr>
          <w:rFonts w:ascii="Times New Roman" w:eastAsia="Times New Roman" w:hAnsi="Times New Roman" w:cs="Times New Roman"/>
          <w:bCs/>
          <w:sz w:val="24"/>
          <w:szCs w:val="24"/>
          <w:lang w:eastAsia="el-GR"/>
        </w:rPr>
        <w:t>κρίση</w:t>
      </w:r>
      <w:r w:rsidR="0082015F" w:rsidRPr="00E36734">
        <w:rPr>
          <w:rFonts w:ascii="Times New Roman" w:eastAsia="Times New Roman" w:hAnsi="Times New Roman" w:cs="Times New Roman"/>
          <w:bCs/>
          <w:sz w:val="24"/>
          <w:szCs w:val="24"/>
          <w:lang w:eastAsia="el-GR"/>
        </w:rPr>
        <w:t xml:space="preserve"> που ακολούθησε οδήγησαν σ</w:t>
      </w:r>
      <w:r w:rsidR="00D707D5" w:rsidRPr="00E36734">
        <w:rPr>
          <w:rFonts w:ascii="Times New Roman" w:eastAsia="Times New Roman" w:hAnsi="Times New Roman" w:cs="Times New Roman"/>
          <w:bCs/>
          <w:sz w:val="24"/>
          <w:szCs w:val="24"/>
          <w:lang w:eastAsia="el-GR"/>
        </w:rPr>
        <w:t>την</w:t>
      </w:r>
      <w:r w:rsidR="0082015F" w:rsidRPr="00E36734">
        <w:rPr>
          <w:rFonts w:ascii="Times New Roman" w:eastAsia="Times New Roman" w:hAnsi="Times New Roman" w:cs="Times New Roman"/>
          <w:bCs/>
          <w:sz w:val="24"/>
          <w:szCs w:val="24"/>
          <w:lang w:eastAsia="el-GR"/>
        </w:rPr>
        <w:t xml:space="preserve"> ραγδαία πτώση του</w:t>
      </w:r>
      <w:r w:rsidR="00D707D5" w:rsidRPr="00E36734">
        <w:rPr>
          <w:rFonts w:ascii="Times New Roman" w:eastAsia="Times New Roman" w:hAnsi="Times New Roman" w:cs="Times New Roman"/>
          <w:bCs/>
          <w:sz w:val="24"/>
          <w:szCs w:val="24"/>
          <w:lang w:eastAsia="el-GR"/>
        </w:rPr>
        <w:t xml:space="preserve">, από τις 66,4 </w:t>
      </w:r>
      <w:r w:rsidR="009D0035" w:rsidRPr="00E36734">
        <w:rPr>
          <w:rFonts w:ascii="Times New Roman" w:eastAsia="Times New Roman" w:hAnsi="Times New Roman" w:cs="Times New Roman"/>
          <w:bCs/>
          <w:sz w:val="24"/>
          <w:szCs w:val="24"/>
          <w:lang w:eastAsia="el-GR"/>
        </w:rPr>
        <w:t>μονάδες</w:t>
      </w:r>
      <w:r w:rsidR="00D707D5" w:rsidRPr="00E36734">
        <w:rPr>
          <w:rFonts w:ascii="Times New Roman" w:eastAsia="Times New Roman" w:hAnsi="Times New Roman" w:cs="Times New Roman"/>
          <w:bCs/>
          <w:sz w:val="24"/>
          <w:szCs w:val="24"/>
          <w:lang w:eastAsia="el-GR"/>
        </w:rPr>
        <w:t xml:space="preserve"> στις 20,1</w:t>
      </w:r>
      <w:r w:rsidR="0082015F" w:rsidRPr="00E36734">
        <w:rPr>
          <w:rFonts w:ascii="Times New Roman" w:eastAsia="Times New Roman" w:hAnsi="Times New Roman" w:cs="Times New Roman"/>
          <w:bCs/>
          <w:sz w:val="24"/>
          <w:szCs w:val="24"/>
          <w:lang w:eastAsia="el-GR"/>
        </w:rPr>
        <w:t xml:space="preserve"> σε διάστημα λιγότερο των </w:t>
      </w:r>
      <w:r w:rsidR="008A541F" w:rsidRPr="00E36734">
        <w:rPr>
          <w:rFonts w:ascii="Times New Roman" w:eastAsia="Times New Roman" w:hAnsi="Times New Roman" w:cs="Times New Roman"/>
          <w:bCs/>
          <w:sz w:val="24"/>
          <w:szCs w:val="24"/>
          <w:lang w:eastAsia="el-GR"/>
        </w:rPr>
        <w:t>έξι</w:t>
      </w:r>
      <w:r w:rsidR="0082015F" w:rsidRPr="00E36734">
        <w:rPr>
          <w:rFonts w:ascii="Times New Roman" w:eastAsia="Times New Roman" w:hAnsi="Times New Roman" w:cs="Times New Roman"/>
          <w:bCs/>
          <w:sz w:val="24"/>
          <w:szCs w:val="24"/>
          <w:lang w:eastAsia="el-GR"/>
        </w:rPr>
        <w:t xml:space="preserve"> μηνών</w:t>
      </w:r>
      <w:r w:rsidR="009D0035" w:rsidRPr="00E36734">
        <w:rPr>
          <w:rFonts w:ascii="Times New Roman" w:eastAsia="Times New Roman" w:hAnsi="Times New Roman" w:cs="Times New Roman"/>
          <w:bCs/>
          <w:sz w:val="24"/>
          <w:szCs w:val="24"/>
          <w:lang w:eastAsia="el-GR"/>
        </w:rPr>
        <w:t>.</w:t>
      </w:r>
      <w:r w:rsidR="0082015F" w:rsidRPr="00E36734">
        <w:rPr>
          <w:rFonts w:ascii="Times New Roman" w:eastAsia="Times New Roman" w:hAnsi="Times New Roman" w:cs="Times New Roman"/>
          <w:bCs/>
          <w:sz w:val="24"/>
          <w:szCs w:val="24"/>
          <w:lang w:eastAsia="el-GR"/>
        </w:rPr>
        <w:t xml:space="preserve"> </w:t>
      </w:r>
      <w:r w:rsidR="008A541F" w:rsidRPr="00E36734">
        <w:rPr>
          <w:rFonts w:ascii="Times New Roman" w:eastAsia="Times New Roman" w:hAnsi="Times New Roman" w:cs="Times New Roman"/>
          <w:bCs/>
          <w:sz w:val="24"/>
          <w:szCs w:val="24"/>
          <w:lang w:eastAsia="el-GR"/>
        </w:rPr>
        <w:t>Βέβαια</w:t>
      </w:r>
      <w:r w:rsidR="006C1482" w:rsidRPr="00E36734">
        <w:rPr>
          <w:rFonts w:ascii="Times New Roman" w:eastAsia="Times New Roman" w:hAnsi="Times New Roman" w:cs="Times New Roman"/>
          <w:bCs/>
          <w:sz w:val="24"/>
          <w:szCs w:val="24"/>
          <w:lang w:eastAsia="el-GR"/>
        </w:rPr>
        <w:t>,</w:t>
      </w:r>
      <w:r w:rsidR="0082015F" w:rsidRPr="00E36734">
        <w:rPr>
          <w:rFonts w:ascii="Times New Roman" w:eastAsia="Times New Roman" w:hAnsi="Times New Roman" w:cs="Times New Roman"/>
          <w:bCs/>
          <w:sz w:val="24"/>
          <w:szCs w:val="24"/>
          <w:lang w:eastAsia="el-GR"/>
        </w:rPr>
        <w:t xml:space="preserve"> σημαντική πτώση </w:t>
      </w:r>
      <w:r w:rsidR="008A541F" w:rsidRPr="00E36734">
        <w:rPr>
          <w:rFonts w:ascii="Times New Roman" w:eastAsia="Times New Roman" w:hAnsi="Times New Roman" w:cs="Times New Roman"/>
          <w:bCs/>
          <w:sz w:val="24"/>
          <w:szCs w:val="24"/>
          <w:lang w:eastAsia="el-GR"/>
        </w:rPr>
        <w:t>καταγράφηκε</w:t>
      </w:r>
      <w:r w:rsidR="0082015F" w:rsidRPr="00E36734">
        <w:rPr>
          <w:rFonts w:ascii="Times New Roman" w:eastAsia="Times New Roman" w:hAnsi="Times New Roman" w:cs="Times New Roman"/>
          <w:bCs/>
          <w:sz w:val="24"/>
          <w:szCs w:val="24"/>
          <w:lang w:eastAsia="el-GR"/>
        </w:rPr>
        <w:t xml:space="preserve"> και στους σχετικούς </w:t>
      </w:r>
      <w:r w:rsidR="008A541F" w:rsidRPr="00E36734">
        <w:rPr>
          <w:rFonts w:ascii="Times New Roman" w:eastAsia="Times New Roman" w:hAnsi="Times New Roman" w:cs="Times New Roman"/>
          <w:bCs/>
          <w:sz w:val="24"/>
          <w:szCs w:val="24"/>
          <w:lang w:eastAsia="el-GR"/>
        </w:rPr>
        <w:t>δείκτες</w:t>
      </w:r>
      <w:r w:rsidR="0082015F" w:rsidRPr="00E36734">
        <w:rPr>
          <w:rFonts w:ascii="Times New Roman" w:eastAsia="Times New Roman" w:hAnsi="Times New Roman" w:cs="Times New Roman"/>
          <w:bCs/>
          <w:sz w:val="24"/>
          <w:szCs w:val="24"/>
          <w:lang w:eastAsia="el-GR"/>
        </w:rPr>
        <w:t xml:space="preserve"> οικονομικού κλίματος του Ευρωβαρόμετρου για τις ΜΜΕ. </w:t>
      </w:r>
      <w:r w:rsidR="009D0035" w:rsidRPr="00E36734">
        <w:rPr>
          <w:rFonts w:ascii="Times New Roman" w:eastAsia="Times New Roman" w:hAnsi="Times New Roman" w:cs="Times New Roman"/>
          <w:bCs/>
          <w:sz w:val="24"/>
          <w:szCs w:val="24"/>
          <w:lang w:eastAsia="el-GR"/>
        </w:rPr>
        <w:t>Συγκεκριμένα, ο</w:t>
      </w:r>
      <w:r w:rsidR="0082015F" w:rsidRPr="00E36734">
        <w:rPr>
          <w:rFonts w:ascii="Times New Roman" w:eastAsia="Times New Roman" w:hAnsi="Times New Roman" w:cs="Times New Roman"/>
          <w:bCs/>
          <w:sz w:val="24"/>
          <w:szCs w:val="24"/>
          <w:lang w:eastAsia="el-GR"/>
        </w:rPr>
        <w:t xml:space="preserve"> γενικός </w:t>
      </w:r>
      <w:r w:rsidR="008A541F" w:rsidRPr="00E36734">
        <w:rPr>
          <w:rFonts w:ascii="Times New Roman" w:eastAsia="Times New Roman" w:hAnsi="Times New Roman" w:cs="Times New Roman"/>
          <w:bCs/>
          <w:sz w:val="24"/>
          <w:szCs w:val="24"/>
          <w:lang w:eastAsia="el-GR"/>
        </w:rPr>
        <w:t>ευρωπαϊκός</w:t>
      </w:r>
      <w:r w:rsidR="0082015F" w:rsidRPr="00E36734">
        <w:rPr>
          <w:rFonts w:ascii="Times New Roman" w:eastAsia="Times New Roman" w:hAnsi="Times New Roman" w:cs="Times New Roman"/>
          <w:bCs/>
          <w:sz w:val="24"/>
          <w:szCs w:val="24"/>
          <w:lang w:eastAsia="el-GR"/>
        </w:rPr>
        <w:t xml:space="preserve"> </w:t>
      </w:r>
      <w:r w:rsidR="008A541F" w:rsidRPr="00E36734">
        <w:rPr>
          <w:rFonts w:ascii="Times New Roman" w:eastAsia="Times New Roman" w:hAnsi="Times New Roman" w:cs="Times New Roman"/>
          <w:bCs/>
          <w:sz w:val="24"/>
          <w:szCs w:val="24"/>
          <w:lang w:eastAsia="el-GR"/>
        </w:rPr>
        <w:t>δείκτης οικονομικού κλίματος</w:t>
      </w:r>
      <w:r w:rsidR="0082015F" w:rsidRPr="00E36734">
        <w:rPr>
          <w:rFonts w:ascii="Times New Roman" w:eastAsia="Times New Roman" w:hAnsi="Times New Roman" w:cs="Times New Roman"/>
          <w:bCs/>
          <w:sz w:val="24"/>
          <w:szCs w:val="24"/>
          <w:lang w:eastAsia="el-GR"/>
        </w:rPr>
        <w:t xml:space="preserve"> </w:t>
      </w:r>
      <w:r w:rsidR="008A541F" w:rsidRPr="00E36734">
        <w:rPr>
          <w:rFonts w:ascii="Times New Roman" w:eastAsia="Times New Roman" w:hAnsi="Times New Roman" w:cs="Times New Roman"/>
          <w:bCs/>
          <w:sz w:val="24"/>
          <w:szCs w:val="24"/>
          <w:lang w:eastAsia="el-GR"/>
        </w:rPr>
        <w:t>έπεσε</w:t>
      </w:r>
      <w:r w:rsidR="0082015F" w:rsidRPr="00E36734">
        <w:rPr>
          <w:rFonts w:ascii="Times New Roman" w:eastAsia="Times New Roman" w:hAnsi="Times New Roman" w:cs="Times New Roman"/>
          <w:bCs/>
          <w:sz w:val="24"/>
          <w:szCs w:val="24"/>
          <w:lang w:eastAsia="el-GR"/>
        </w:rPr>
        <w:t xml:space="preserve"> το Α εξάμηνο του 2020 από τις </w:t>
      </w:r>
      <w:r w:rsidR="008A541F" w:rsidRPr="00E36734">
        <w:rPr>
          <w:rFonts w:ascii="Times New Roman" w:eastAsia="Times New Roman" w:hAnsi="Times New Roman" w:cs="Times New Roman"/>
          <w:bCs/>
          <w:sz w:val="24"/>
          <w:szCs w:val="24"/>
          <w:lang w:eastAsia="el-GR"/>
        </w:rPr>
        <w:t xml:space="preserve">73,4 μονάδες στις 54,6. </w:t>
      </w:r>
      <w:r w:rsidR="00D707D5" w:rsidRPr="00E36734">
        <w:rPr>
          <w:rFonts w:ascii="Times New Roman" w:eastAsia="Times New Roman" w:hAnsi="Times New Roman" w:cs="Times New Roman"/>
          <w:bCs/>
          <w:sz w:val="24"/>
          <w:szCs w:val="24"/>
          <w:lang w:eastAsia="el-GR"/>
        </w:rPr>
        <w:t>Αντίστοιχα</w:t>
      </w:r>
      <w:r w:rsidR="008A541F" w:rsidRPr="00E36734">
        <w:rPr>
          <w:rFonts w:ascii="Times New Roman" w:eastAsia="Times New Roman" w:hAnsi="Times New Roman" w:cs="Times New Roman"/>
          <w:bCs/>
          <w:sz w:val="24"/>
          <w:szCs w:val="24"/>
          <w:lang w:eastAsia="el-GR"/>
        </w:rPr>
        <w:t xml:space="preserve"> ο σχετικός </w:t>
      </w:r>
      <w:r w:rsidR="00D707D5" w:rsidRPr="00E36734">
        <w:rPr>
          <w:rFonts w:ascii="Times New Roman" w:eastAsia="Times New Roman" w:hAnsi="Times New Roman" w:cs="Times New Roman"/>
          <w:bCs/>
          <w:sz w:val="24"/>
          <w:szCs w:val="24"/>
          <w:lang w:eastAsia="el-GR"/>
        </w:rPr>
        <w:t>δείκτης</w:t>
      </w:r>
      <w:r w:rsidR="008A541F" w:rsidRPr="00E36734">
        <w:rPr>
          <w:rFonts w:ascii="Times New Roman" w:eastAsia="Times New Roman" w:hAnsi="Times New Roman" w:cs="Times New Roman"/>
          <w:bCs/>
          <w:sz w:val="24"/>
          <w:szCs w:val="24"/>
          <w:lang w:eastAsia="el-GR"/>
        </w:rPr>
        <w:t xml:space="preserve"> για τις ΜΜΕ των </w:t>
      </w:r>
      <w:r w:rsidR="00D707D5" w:rsidRPr="00E36734">
        <w:rPr>
          <w:rFonts w:ascii="Times New Roman" w:eastAsia="Times New Roman" w:hAnsi="Times New Roman" w:cs="Times New Roman"/>
          <w:bCs/>
          <w:sz w:val="24"/>
          <w:szCs w:val="24"/>
          <w:lang w:eastAsia="el-GR"/>
        </w:rPr>
        <w:t xml:space="preserve">κρατών της </w:t>
      </w:r>
      <w:r w:rsidR="0053342E" w:rsidRPr="00E36734">
        <w:rPr>
          <w:rFonts w:ascii="Times New Roman" w:eastAsia="Times New Roman" w:hAnsi="Times New Roman" w:cs="Times New Roman"/>
          <w:bCs/>
          <w:sz w:val="24"/>
          <w:szCs w:val="24"/>
          <w:lang w:eastAsia="el-GR"/>
        </w:rPr>
        <w:t>Β</w:t>
      </w:r>
      <w:r w:rsidR="00D707D5" w:rsidRPr="00E36734">
        <w:rPr>
          <w:rFonts w:ascii="Times New Roman" w:eastAsia="Times New Roman" w:hAnsi="Times New Roman" w:cs="Times New Roman"/>
          <w:bCs/>
          <w:sz w:val="24"/>
          <w:szCs w:val="24"/>
          <w:lang w:eastAsia="el-GR"/>
        </w:rPr>
        <w:t xml:space="preserve">όρειας και </w:t>
      </w:r>
      <w:r w:rsidR="0053342E" w:rsidRPr="00E36734">
        <w:rPr>
          <w:rFonts w:ascii="Times New Roman" w:eastAsia="Times New Roman" w:hAnsi="Times New Roman" w:cs="Times New Roman"/>
          <w:bCs/>
          <w:sz w:val="24"/>
          <w:szCs w:val="24"/>
          <w:lang w:eastAsia="el-GR"/>
        </w:rPr>
        <w:t>Κ</w:t>
      </w:r>
      <w:r w:rsidR="00D707D5" w:rsidRPr="00E36734">
        <w:rPr>
          <w:rFonts w:ascii="Times New Roman" w:eastAsia="Times New Roman" w:hAnsi="Times New Roman" w:cs="Times New Roman"/>
          <w:bCs/>
          <w:sz w:val="24"/>
          <w:szCs w:val="24"/>
          <w:lang w:eastAsia="el-GR"/>
        </w:rPr>
        <w:t>εντρικής Ευρώπης</w:t>
      </w:r>
      <w:r w:rsidR="008A541F" w:rsidRPr="00E36734">
        <w:rPr>
          <w:rFonts w:ascii="Times New Roman" w:eastAsia="Times New Roman" w:hAnsi="Times New Roman" w:cs="Times New Roman"/>
          <w:bCs/>
          <w:sz w:val="24"/>
          <w:szCs w:val="24"/>
          <w:lang w:eastAsia="el-GR"/>
        </w:rPr>
        <w:t xml:space="preserve"> </w:t>
      </w:r>
      <w:r w:rsidR="00D707D5" w:rsidRPr="00E36734">
        <w:rPr>
          <w:rFonts w:ascii="Times New Roman" w:eastAsia="Times New Roman" w:hAnsi="Times New Roman" w:cs="Times New Roman"/>
          <w:bCs/>
          <w:sz w:val="24"/>
          <w:szCs w:val="24"/>
          <w:lang w:eastAsia="el-GR"/>
        </w:rPr>
        <w:t>μειώθηκε</w:t>
      </w:r>
      <w:r w:rsidR="008A541F" w:rsidRPr="00E36734">
        <w:rPr>
          <w:rFonts w:ascii="Times New Roman" w:eastAsia="Times New Roman" w:hAnsi="Times New Roman" w:cs="Times New Roman"/>
          <w:bCs/>
          <w:sz w:val="24"/>
          <w:szCs w:val="24"/>
          <w:lang w:eastAsia="el-GR"/>
        </w:rPr>
        <w:t xml:space="preserve"> από τις 72,7 στις 59,1 </w:t>
      </w:r>
      <w:r w:rsidR="00D707D5" w:rsidRPr="00E36734">
        <w:rPr>
          <w:rFonts w:ascii="Times New Roman" w:eastAsia="Times New Roman" w:hAnsi="Times New Roman" w:cs="Times New Roman"/>
          <w:bCs/>
          <w:sz w:val="24"/>
          <w:szCs w:val="24"/>
          <w:lang w:eastAsia="el-GR"/>
        </w:rPr>
        <w:t>μονάδες, ενώ</w:t>
      </w:r>
      <w:r w:rsidR="008A541F" w:rsidRPr="00E36734">
        <w:rPr>
          <w:rFonts w:ascii="Times New Roman" w:eastAsia="Times New Roman" w:hAnsi="Times New Roman" w:cs="Times New Roman"/>
          <w:bCs/>
          <w:sz w:val="24"/>
          <w:szCs w:val="24"/>
          <w:lang w:eastAsia="el-GR"/>
        </w:rPr>
        <w:t xml:space="preserve"> για τις χώρες του Νότου και της περιφέρειας της ΕΕ από τις 75,5 στις 43,3</w:t>
      </w:r>
      <w:r w:rsidR="00D707D5" w:rsidRPr="00E36734">
        <w:rPr>
          <w:rFonts w:ascii="Times New Roman" w:eastAsia="Times New Roman" w:hAnsi="Times New Roman" w:cs="Times New Roman"/>
          <w:bCs/>
          <w:sz w:val="24"/>
          <w:szCs w:val="24"/>
          <w:lang w:eastAsia="el-GR"/>
        </w:rPr>
        <w:t xml:space="preserve">. </w:t>
      </w:r>
    </w:p>
    <w:p w14:paraId="7C06D21B" w14:textId="0EDED370" w:rsidR="002D603B" w:rsidRPr="00E36734" w:rsidRDefault="009D0035"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Η ραγδαία επιδείνωση της κατάστασης των ελληνικών ΜΜΕ αποτέλεσε ένα πρώτο σοβαρό σημάδι πως τα προβλήματα που αντιμετωπίζουν οι μικρές και πολύ μικρές</w:t>
      </w:r>
      <w:r w:rsidR="006C1482" w:rsidRPr="00E36734">
        <w:rPr>
          <w:rFonts w:ascii="Times New Roman" w:eastAsia="Times New Roman" w:hAnsi="Times New Roman" w:cs="Times New Roman"/>
          <w:bCs/>
          <w:sz w:val="24"/>
          <w:szCs w:val="24"/>
          <w:lang w:eastAsia="el-GR"/>
        </w:rPr>
        <w:t xml:space="preserve"> επιχειρήσεις,</w:t>
      </w:r>
      <w:r w:rsidRPr="00E36734">
        <w:rPr>
          <w:rFonts w:ascii="Times New Roman" w:eastAsia="Times New Roman" w:hAnsi="Times New Roman" w:cs="Times New Roman"/>
          <w:bCs/>
          <w:sz w:val="24"/>
          <w:szCs w:val="24"/>
          <w:lang w:eastAsia="el-GR"/>
        </w:rPr>
        <w:t xml:space="preserve"> με κύριο το διαχρονικό πρόβλημα της έλλειψης ρευστότητας</w:t>
      </w:r>
      <w:r w:rsidR="006C1482"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θα </w:t>
      </w:r>
      <w:r w:rsidR="0053342E" w:rsidRPr="00E36734">
        <w:rPr>
          <w:rFonts w:ascii="Times New Roman" w:eastAsia="Times New Roman" w:hAnsi="Times New Roman" w:cs="Times New Roman"/>
          <w:bCs/>
          <w:sz w:val="24"/>
          <w:szCs w:val="24"/>
          <w:lang w:eastAsia="el-GR"/>
        </w:rPr>
        <w:t>έθετε σε κίνδυνο τη βιωσιμότητα</w:t>
      </w:r>
      <w:r w:rsidRPr="00E36734">
        <w:rPr>
          <w:rFonts w:ascii="Times New Roman" w:eastAsia="Times New Roman" w:hAnsi="Times New Roman" w:cs="Times New Roman"/>
          <w:bCs/>
          <w:sz w:val="24"/>
          <w:szCs w:val="24"/>
          <w:lang w:eastAsia="el-GR"/>
        </w:rPr>
        <w:t xml:space="preserve"> τους εάν δεν αντιμετωπιζόταν </w:t>
      </w:r>
      <w:r w:rsidR="0053342E" w:rsidRPr="00E36734">
        <w:rPr>
          <w:rFonts w:ascii="Times New Roman" w:eastAsia="Times New Roman" w:hAnsi="Times New Roman" w:cs="Times New Roman"/>
          <w:bCs/>
          <w:sz w:val="24"/>
          <w:szCs w:val="24"/>
          <w:lang w:eastAsia="el-GR"/>
        </w:rPr>
        <w:t>αποτελεσματικά</w:t>
      </w:r>
      <w:r w:rsidRPr="00E36734">
        <w:rPr>
          <w:rFonts w:ascii="Times New Roman" w:eastAsia="Times New Roman" w:hAnsi="Times New Roman" w:cs="Times New Roman"/>
          <w:bCs/>
          <w:sz w:val="24"/>
          <w:szCs w:val="24"/>
          <w:lang w:eastAsia="el-GR"/>
        </w:rPr>
        <w:t>, δεδομένου ότι η βασική πηγή</w:t>
      </w:r>
      <w:r w:rsidR="00A500D0" w:rsidRPr="00E36734">
        <w:rPr>
          <w:rFonts w:ascii="Times New Roman" w:eastAsia="Times New Roman" w:hAnsi="Times New Roman" w:cs="Times New Roman"/>
          <w:bCs/>
          <w:sz w:val="24"/>
          <w:szCs w:val="24"/>
          <w:lang w:eastAsia="el-GR"/>
        </w:rPr>
        <w:t xml:space="preserve"> </w:t>
      </w:r>
      <w:r w:rsidRPr="00E36734">
        <w:rPr>
          <w:rFonts w:ascii="Times New Roman" w:eastAsia="Times New Roman" w:hAnsi="Times New Roman" w:cs="Times New Roman"/>
          <w:bCs/>
          <w:sz w:val="24"/>
          <w:szCs w:val="24"/>
          <w:lang w:eastAsia="el-GR"/>
        </w:rPr>
        <w:t xml:space="preserve">και σε αρκετές περιπτώσεις </w:t>
      </w:r>
      <w:r w:rsidR="00A500D0" w:rsidRPr="00E36734">
        <w:rPr>
          <w:rFonts w:ascii="Times New Roman" w:eastAsia="Times New Roman" w:hAnsi="Times New Roman" w:cs="Times New Roman"/>
          <w:bCs/>
          <w:sz w:val="24"/>
          <w:szCs w:val="24"/>
          <w:lang w:eastAsia="el-GR"/>
        </w:rPr>
        <w:t xml:space="preserve">η </w:t>
      </w:r>
      <w:r w:rsidRPr="00E36734">
        <w:rPr>
          <w:rFonts w:ascii="Times New Roman" w:eastAsia="Times New Roman" w:hAnsi="Times New Roman" w:cs="Times New Roman"/>
          <w:bCs/>
          <w:sz w:val="24"/>
          <w:szCs w:val="24"/>
          <w:lang w:eastAsia="el-GR"/>
        </w:rPr>
        <w:t>μοναδική πηγή</w:t>
      </w:r>
      <w:r w:rsidR="00A500D0" w:rsidRPr="00E36734">
        <w:rPr>
          <w:rFonts w:ascii="Times New Roman" w:eastAsia="Times New Roman" w:hAnsi="Times New Roman" w:cs="Times New Roman"/>
          <w:bCs/>
          <w:sz w:val="24"/>
          <w:szCs w:val="24"/>
          <w:lang w:eastAsia="el-GR"/>
        </w:rPr>
        <w:t xml:space="preserve"> χρηματοδότησης της καθημερινής τους λειτουργίας </w:t>
      </w:r>
      <w:r w:rsidRPr="00E36734">
        <w:rPr>
          <w:rFonts w:ascii="Times New Roman" w:eastAsia="Times New Roman" w:hAnsi="Times New Roman" w:cs="Times New Roman"/>
          <w:bCs/>
          <w:sz w:val="24"/>
          <w:szCs w:val="24"/>
          <w:lang w:eastAsia="el-GR"/>
        </w:rPr>
        <w:t xml:space="preserve">αποτελεί ο </w:t>
      </w:r>
      <w:r w:rsidR="00A500D0" w:rsidRPr="00E36734">
        <w:rPr>
          <w:rFonts w:ascii="Times New Roman" w:eastAsia="Times New Roman" w:hAnsi="Times New Roman" w:cs="Times New Roman"/>
          <w:bCs/>
          <w:sz w:val="24"/>
          <w:szCs w:val="24"/>
          <w:lang w:eastAsia="el-GR"/>
        </w:rPr>
        <w:t xml:space="preserve">ημερήσιος </w:t>
      </w:r>
      <w:r w:rsidRPr="00E36734">
        <w:rPr>
          <w:rFonts w:ascii="Times New Roman" w:eastAsia="Times New Roman" w:hAnsi="Times New Roman" w:cs="Times New Roman"/>
          <w:bCs/>
          <w:sz w:val="24"/>
          <w:szCs w:val="24"/>
          <w:lang w:eastAsia="el-GR"/>
        </w:rPr>
        <w:t>τζίρος</w:t>
      </w:r>
      <w:r w:rsidR="00A500D0" w:rsidRPr="00E36734">
        <w:rPr>
          <w:rFonts w:ascii="Times New Roman" w:eastAsia="Times New Roman" w:hAnsi="Times New Roman" w:cs="Times New Roman"/>
          <w:bCs/>
          <w:sz w:val="24"/>
          <w:szCs w:val="24"/>
          <w:lang w:eastAsia="el-GR"/>
        </w:rPr>
        <w:t>. Και τούτο δεν αφορά μόνο την δυνατότητα κάλυψης των δαπανών και των υποχρεώσεων μιας επιχείρησης αλλά και το εισόδημα διαβίωσης του ίδιου του επιχειρηματία.</w:t>
      </w:r>
    </w:p>
    <w:p w14:paraId="763DA981" w14:textId="76C2170D" w:rsidR="009D0035" w:rsidRPr="00E36734" w:rsidRDefault="002D603B"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lastRenderedPageBreak/>
        <w:t>Η διατήρηση του δείκτη οικονομικού κλίματος των ΜΜΕ για το Β εξάμηνο του 2020 στο ίδιο εξαιρετικά χαμηλό επίπεδο με τ</w:t>
      </w:r>
      <w:r w:rsidR="006C1482" w:rsidRPr="00E36734">
        <w:rPr>
          <w:rFonts w:ascii="Times New Roman" w:eastAsia="Times New Roman" w:hAnsi="Times New Roman" w:cs="Times New Roman"/>
          <w:bCs/>
          <w:sz w:val="24"/>
          <w:szCs w:val="24"/>
          <w:lang w:eastAsia="el-GR"/>
        </w:rPr>
        <w:t>ο</w:t>
      </w:r>
      <w:r w:rsidRPr="00E36734">
        <w:rPr>
          <w:rFonts w:ascii="Times New Roman" w:eastAsia="Times New Roman" w:hAnsi="Times New Roman" w:cs="Times New Roman"/>
          <w:bCs/>
          <w:sz w:val="24"/>
          <w:szCs w:val="24"/>
          <w:lang w:eastAsia="el-GR"/>
        </w:rPr>
        <w:t xml:space="preserve"> Α εξάμηνο του 2020, δηλαδή στις 20,1 μονάδες, </w:t>
      </w:r>
      <w:r w:rsidR="00483ED8" w:rsidRPr="00E36734">
        <w:rPr>
          <w:rFonts w:ascii="Times New Roman" w:eastAsia="Times New Roman" w:hAnsi="Times New Roman" w:cs="Times New Roman"/>
          <w:bCs/>
          <w:sz w:val="24"/>
          <w:szCs w:val="24"/>
          <w:lang w:eastAsia="el-GR"/>
        </w:rPr>
        <w:t>για</w:t>
      </w:r>
      <w:r w:rsidRPr="00E36734">
        <w:rPr>
          <w:rFonts w:ascii="Times New Roman" w:eastAsia="Times New Roman" w:hAnsi="Times New Roman" w:cs="Times New Roman"/>
          <w:bCs/>
          <w:sz w:val="24"/>
          <w:szCs w:val="24"/>
          <w:lang w:eastAsia="el-GR"/>
        </w:rPr>
        <w:t xml:space="preserve"> μια περίοδο που οι συνθήκες λειτουργίας των επιχειρήσεων ήταν μάλλον καλύτερες σε σχέση με το Α εξάμηνο του έτους, υποδηλώνει </w:t>
      </w:r>
      <w:r w:rsidR="00483ED8" w:rsidRPr="00E36734">
        <w:rPr>
          <w:rFonts w:ascii="Times New Roman" w:eastAsia="Times New Roman" w:hAnsi="Times New Roman" w:cs="Times New Roman"/>
          <w:bCs/>
          <w:sz w:val="24"/>
          <w:szCs w:val="24"/>
          <w:lang w:eastAsia="el-GR"/>
        </w:rPr>
        <w:t xml:space="preserve">την </w:t>
      </w:r>
      <w:r w:rsidRPr="00E36734">
        <w:rPr>
          <w:rFonts w:ascii="Times New Roman" w:eastAsia="Times New Roman" w:hAnsi="Times New Roman" w:cs="Times New Roman"/>
          <w:bCs/>
          <w:sz w:val="24"/>
          <w:szCs w:val="24"/>
          <w:lang w:eastAsia="el-GR"/>
        </w:rPr>
        <w:t xml:space="preserve">επιδείνωση της </w:t>
      </w:r>
      <w:r w:rsidR="00483ED8" w:rsidRPr="00E36734">
        <w:rPr>
          <w:rFonts w:ascii="Times New Roman" w:eastAsia="Times New Roman" w:hAnsi="Times New Roman" w:cs="Times New Roman"/>
          <w:bCs/>
          <w:sz w:val="24"/>
          <w:szCs w:val="24"/>
          <w:lang w:eastAsia="el-GR"/>
        </w:rPr>
        <w:t xml:space="preserve">οικονομικής </w:t>
      </w:r>
      <w:r w:rsidRPr="00E36734">
        <w:rPr>
          <w:rFonts w:ascii="Times New Roman" w:eastAsia="Times New Roman" w:hAnsi="Times New Roman" w:cs="Times New Roman"/>
          <w:bCs/>
          <w:sz w:val="24"/>
          <w:szCs w:val="24"/>
          <w:lang w:eastAsia="el-GR"/>
        </w:rPr>
        <w:t xml:space="preserve">κατάστασης </w:t>
      </w:r>
      <w:r w:rsidR="00483ED8" w:rsidRPr="00E36734">
        <w:rPr>
          <w:rFonts w:ascii="Times New Roman" w:eastAsia="Times New Roman" w:hAnsi="Times New Roman" w:cs="Times New Roman"/>
          <w:bCs/>
          <w:sz w:val="24"/>
          <w:szCs w:val="24"/>
          <w:lang w:eastAsia="el-GR"/>
        </w:rPr>
        <w:t>της</w:t>
      </w:r>
      <w:r w:rsidRPr="00E36734">
        <w:rPr>
          <w:rFonts w:ascii="Times New Roman" w:eastAsia="Times New Roman" w:hAnsi="Times New Roman" w:cs="Times New Roman"/>
          <w:bCs/>
          <w:sz w:val="24"/>
          <w:szCs w:val="24"/>
          <w:lang w:eastAsia="el-GR"/>
        </w:rPr>
        <w:t xml:space="preserve"> πλειοψηφία</w:t>
      </w:r>
      <w:r w:rsidR="00483ED8" w:rsidRPr="00E36734">
        <w:rPr>
          <w:rFonts w:ascii="Times New Roman" w:eastAsia="Times New Roman" w:hAnsi="Times New Roman" w:cs="Times New Roman"/>
          <w:bCs/>
          <w:sz w:val="24"/>
          <w:szCs w:val="24"/>
          <w:lang w:eastAsia="el-GR"/>
        </w:rPr>
        <w:t>ς</w:t>
      </w:r>
      <w:r w:rsidRPr="00E36734">
        <w:rPr>
          <w:rFonts w:ascii="Times New Roman" w:eastAsia="Times New Roman" w:hAnsi="Times New Roman" w:cs="Times New Roman"/>
          <w:bCs/>
          <w:sz w:val="24"/>
          <w:szCs w:val="24"/>
          <w:lang w:eastAsia="el-GR"/>
        </w:rPr>
        <w:t xml:space="preserve"> των μικρών και πολύ μικρών επιχειρήσεων. Όπως άλλωστε φαίνεται και στο Γράφημα 1 οι σχετικοί Ευρωπαϊκοί δείκτες παρουσίασαν άνοδο το Β εξάμηνο του 2020</w:t>
      </w:r>
      <w:r w:rsidR="006C1482" w:rsidRPr="00E36734">
        <w:rPr>
          <w:rFonts w:ascii="Times New Roman" w:eastAsia="Times New Roman" w:hAnsi="Times New Roman" w:cs="Times New Roman"/>
          <w:bCs/>
          <w:sz w:val="24"/>
          <w:szCs w:val="24"/>
          <w:lang w:eastAsia="el-GR"/>
        </w:rPr>
        <w:t>,</w:t>
      </w:r>
      <w:r w:rsidR="00A3568A" w:rsidRPr="00E36734">
        <w:rPr>
          <w:rFonts w:ascii="Times New Roman" w:eastAsia="Times New Roman" w:hAnsi="Times New Roman" w:cs="Times New Roman"/>
          <w:bCs/>
          <w:sz w:val="24"/>
          <w:szCs w:val="24"/>
          <w:lang w:eastAsia="el-GR"/>
        </w:rPr>
        <w:t xml:space="preserve"> που σημαίνει πως οι Ευρωπαϊκές ΜΜΕ περιόρισαν τις απώλειες τους. Συγκεκριμένα ο γενικός ευρωπαϊκός δείκτης οικονομικού κλίματος ανέβηκε το Β εξάμηνο του 2020 από τις 54,6 μονάδες στις 59,8. Αντίστοιχα ο σχετικός δείκτης για τις ΜΜΕ των κρατών της </w:t>
      </w:r>
      <w:r w:rsidR="00483ED8" w:rsidRPr="00E36734">
        <w:rPr>
          <w:rFonts w:ascii="Times New Roman" w:eastAsia="Times New Roman" w:hAnsi="Times New Roman" w:cs="Times New Roman"/>
          <w:bCs/>
          <w:sz w:val="24"/>
          <w:szCs w:val="24"/>
          <w:lang w:eastAsia="el-GR"/>
        </w:rPr>
        <w:t>Β</w:t>
      </w:r>
      <w:r w:rsidR="00A3568A" w:rsidRPr="00E36734">
        <w:rPr>
          <w:rFonts w:ascii="Times New Roman" w:eastAsia="Times New Roman" w:hAnsi="Times New Roman" w:cs="Times New Roman"/>
          <w:bCs/>
          <w:sz w:val="24"/>
          <w:szCs w:val="24"/>
          <w:lang w:eastAsia="el-GR"/>
        </w:rPr>
        <w:t xml:space="preserve">όρειας και </w:t>
      </w:r>
      <w:r w:rsidR="00483ED8" w:rsidRPr="00E36734">
        <w:rPr>
          <w:rFonts w:ascii="Times New Roman" w:eastAsia="Times New Roman" w:hAnsi="Times New Roman" w:cs="Times New Roman"/>
          <w:bCs/>
          <w:sz w:val="24"/>
          <w:szCs w:val="24"/>
          <w:lang w:eastAsia="el-GR"/>
        </w:rPr>
        <w:t>Κ</w:t>
      </w:r>
      <w:r w:rsidR="00A3568A" w:rsidRPr="00E36734">
        <w:rPr>
          <w:rFonts w:ascii="Times New Roman" w:eastAsia="Times New Roman" w:hAnsi="Times New Roman" w:cs="Times New Roman"/>
          <w:bCs/>
          <w:sz w:val="24"/>
          <w:szCs w:val="24"/>
          <w:lang w:eastAsia="el-GR"/>
        </w:rPr>
        <w:t>εντρικής Ευρώπης αυξήθηκε από τις 59,1 στις 62,4 μονάδες, ενώ για τις χώρες του Νότου και της περιφέρειας της ΕΕ από τις 43,3 στις 51,9.</w:t>
      </w:r>
    </w:p>
    <w:p w14:paraId="680ED826" w14:textId="5F0A1C63" w:rsidR="00D707D5" w:rsidRPr="00E36734" w:rsidRDefault="00A3568A" w:rsidP="00761263">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Επιπλέον, όπως αναφέρεται στη σχετική έκθεση της </w:t>
      </w:r>
      <w:r w:rsidRPr="00E36734">
        <w:rPr>
          <w:rFonts w:ascii="Times New Roman" w:eastAsia="Times New Roman" w:hAnsi="Times New Roman" w:cs="Times New Roman"/>
          <w:bCs/>
          <w:sz w:val="24"/>
          <w:szCs w:val="24"/>
          <w:lang w:val="en-US" w:eastAsia="el-GR"/>
        </w:rPr>
        <w:t>SME</w:t>
      </w:r>
      <w:r w:rsidRPr="00E36734">
        <w:rPr>
          <w:rFonts w:ascii="Times New Roman" w:eastAsia="Times New Roman" w:hAnsi="Times New Roman" w:cs="Times New Roman"/>
          <w:bCs/>
          <w:sz w:val="24"/>
          <w:szCs w:val="24"/>
          <w:lang w:eastAsia="el-GR"/>
        </w:rPr>
        <w:t xml:space="preserve"> </w:t>
      </w:r>
      <w:r w:rsidRPr="00E36734">
        <w:rPr>
          <w:rFonts w:ascii="Times New Roman" w:eastAsia="Times New Roman" w:hAnsi="Times New Roman" w:cs="Times New Roman"/>
          <w:bCs/>
          <w:sz w:val="24"/>
          <w:szCs w:val="24"/>
          <w:lang w:val="en-US" w:eastAsia="el-GR"/>
        </w:rPr>
        <w:t>United</w:t>
      </w:r>
      <w:r w:rsidRPr="00E36734">
        <w:rPr>
          <w:rFonts w:ascii="Times New Roman" w:eastAsia="Times New Roman" w:hAnsi="Times New Roman" w:cs="Times New Roman"/>
          <w:bCs/>
          <w:sz w:val="24"/>
          <w:szCs w:val="24"/>
          <w:lang w:eastAsia="el-GR"/>
        </w:rPr>
        <w:t>, η μερική ανάκαμψη που παρουσιάστηκε στον δείκτη επιχειρηματικό κλίματος ΜΜΕ το Β εξάμηνο του 2020</w:t>
      </w:r>
      <w:r w:rsidR="006C1482" w:rsidRPr="00E36734">
        <w:rPr>
          <w:rFonts w:ascii="Times New Roman" w:eastAsia="Times New Roman" w:hAnsi="Times New Roman" w:cs="Times New Roman"/>
          <w:bCs/>
          <w:sz w:val="24"/>
          <w:szCs w:val="24"/>
          <w:lang w:eastAsia="el-GR"/>
        </w:rPr>
        <w:t xml:space="preserve"> και </w:t>
      </w:r>
      <w:r w:rsidRPr="00E36734">
        <w:rPr>
          <w:rFonts w:ascii="Times New Roman" w:eastAsia="Times New Roman" w:hAnsi="Times New Roman" w:cs="Times New Roman"/>
          <w:bCs/>
          <w:sz w:val="24"/>
          <w:szCs w:val="24"/>
          <w:lang w:eastAsia="el-GR"/>
        </w:rPr>
        <w:t>οφείλεται στην άρση των περιοριστικών μέτρων</w:t>
      </w:r>
      <w:r w:rsidR="00483ED8"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μετριάζεται από το δεύτερο κύμα της πανδημίας που εκδηλώθηκε στο τέλος του έτους. </w:t>
      </w:r>
      <w:r w:rsidR="001D2F4E" w:rsidRPr="00E36734">
        <w:rPr>
          <w:rFonts w:ascii="Times New Roman" w:eastAsia="Times New Roman" w:hAnsi="Times New Roman" w:cs="Times New Roman"/>
          <w:bCs/>
          <w:sz w:val="24"/>
          <w:szCs w:val="24"/>
          <w:lang w:eastAsia="el-GR"/>
        </w:rPr>
        <w:t>Αυτό για τις ελληνικές ΜΜΕ</w:t>
      </w:r>
      <w:r w:rsidR="00483ED8" w:rsidRPr="00E36734">
        <w:rPr>
          <w:rFonts w:ascii="Times New Roman" w:eastAsia="Times New Roman" w:hAnsi="Times New Roman" w:cs="Times New Roman"/>
          <w:bCs/>
          <w:sz w:val="24"/>
          <w:szCs w:val="24"/>
          <w:lang w:eastAsia="el-GR"/>
        </w:rPr>
        <w:t>,</w:t>
      </w:r>
      <w:r w:rsidR="001D2F4E" w:rsidRPr="00E36734">
        <w:rPr>
          <w:rFonts w:ascii="Times New Roman" w:eastAsia="Times New Roman" w:hAnsi="Times New Roman" w:cs="Times New Roman"/>
          <w:bCs/>
          <w:sz w:val="24"/>
          <w:szCs w:val="24"/>
          <w:lang w:eastAsia="el-GR"/>
        </w:rPr>
        <w:t xml:space="preserve"> που για το μεγαλύτερο διάστημα του 2021 βρίσκονται υπό καθεστώς </w:t>
      </w:r>
      <w:r w:rsidR="00483ED8" w:rsidRPr="00E36734">
        <w:rPr>
          <w:rFonts w:ascii="Times New Roman" w:eastAsia="Times New Roman" w:hAnsi="Times New Roman" w:cs="Times New Roman"/>
          <w:bCs/>
          <w:sz w:val="24"/>
          <w:szCs w:val="24"/>
          <w:lang w:eastAsia="el-GR"/>
        </w:rPr>
        <w:t xml:space="preserve">του τρίτου κατά σειρά </w:t>
      </w:r>
      <w:r w:rsidR="00483ED8" w:rsidRPr="00E36734">
        <w:rPr>
          <w:rFonts w:ascii="Times New Roman" w:eastAsia="Times New Roman" w:hAnsi="Times New Roman" w:cs="Times New Roman"/>
          <w:bCs/>
          <w:sz w:val="24"/>
          <w:szCs w:val="24"/>
          <w:lang w:val="en-US" w:eastAsia="el-GR"/>
        </w:rPr>
        <w:t>lockdown</w:t>
      </w:r>
      <w:r w:rsidR="001D2F4E" w:rsidRPr="00E36734">
        <w:rPr>
          <w:rFonts w:ascii="Times New Roman" w:eastAsia="Times New Roman" w:hAnsi="Times New Roman" w:cs="Times New Roman"/>
          <w:bCs/>
          <w:sz w:val="24"/>
          <w:szCs w:val="24"/>
          <w:lang w:eastAsia="el-GR"/>
        </w:rPr>
        <w:t xml:space="preserve">, πιθανότατα σημαίνει πως έχει επιβαρύνει περεταίρω την δύσκολη οικονομική κατάσταση στην οποία ήδη βρίσκονται.  </w:t>
      </w:r>
    </w:p>
    <w:p w14:paraId="2EC0D784" w14:textId="3718BA3F" w:rsidR="006C3DAB" w:rsidRPr="00E36734" w:rsidRDefault="006C3DAB" w:rsidP="00761263">
      <w:pPr>
        <w:spacing w:after="0" w:line="360" w:lineRule="auto"/>
        <w:jc w:val="both"/>
        <w:rPr>
          <w:rFonts w:ascii="Times New Roman" w:eastAsia="Times New Roman" w:hAnsi="Times New Roman" w:cs="Times New Roman"/>
          <w:color w:val="222222"/>
          <w:sz w:val="24"/>
          <w:szCs w:val="24"/>
          <w:lang w:eastAsia="el-GR"/>
        </w:rPr>
      </w:pPr>
    </w:p>
    <w:p w14:paraId="4AADCDD1" w14:textId="72A2E8C7" w:rsidR="006C3DAB" w:rsidRPr="00E36734" w:rsidRDefault="006C3DAB" w:rsidP="00761263">
      <w:pPr>
        <w:spacing w:after="0" w:line="360" w:lineRule="auto"/>
        <w:jc w:val="both"/>
        <w:rPr>
          <w:rFonts w:ascii="Times New Roman" w:eastAsia="Times New Roman" w:hAnsi="Times New Roman" w:cs="Times New Roman"/>
          <w:color w:val="222222"/>
          <w:sz w:val="24"/>
          <w:szCs w:val="24"/>
          <w:lang w:eastAsia="el-GR"/>
        </w:rPr>
      </w:pPr>
      <w:r w:rsidRPr="00E36734">
        <w:rPr>
          <w:noProof/>
          <w:lang w:eastAsia="el-GR"/>
        </w:rPr>
        <w:drawing>
          <wp:inline distT="0" distB="0" distL="0" distR="0" wp14:anchorId="6EC91D31" wp14:editId="3FC86EB7">
            <wp:extent cx="6570980" cy="4130040"/>
            <wp:effectExtent l="0" t="0" r="1270" b="3810"/>
            <wp:docPr id="2" name="Γράφημα 2">
              <a:extLst xmlns:a="http://schemas.openxmlformats.org/drawingml/2006/main">
                <a:ext uri="{FF2B5EF4-FFF2-40B4-BE49-F238E27FC236}">
                  <a16:creationId xmlns:a16="http://schemas.microsoft.com/office/drawing/2014/main" id="{931C5885-E001-4CE1-AC5C-53371FAF6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4C28FE" w14:textId="730A0DE6" w:rsidR="00A9799A" w:rsidRPr="00E36734" w:rsidRDefault="00A9799A" w:rsidP="00761263">
      <w:pPr>
        <w:spacing w:after="0" w:line="360" w:lineRule="auto"/>
        <w:jc w:val="both"/>
        <w:rPr>
          <w:rFonts w:ascii="Times New Roman" w:eastAsia="Times New Roman" w:hAnsi="Times New Roman" w:cs="Times New Roman"/>
          <w:color w:val="222222"/>
          <w:sz w:val="24"/>
          <w:szCs w:val="24"/>
          <w:lang w:eastAsia="el-GR"/>
        </w:rPr>
      </w:pPr>
      <w:r w:rsidRPr="00E36734">
        <w:rPr>
          <w:noProof/>
          <w:lang w:eastAsia="el-GR"/>
        </w:rPr>
        <w:lastRenderedPageBreak/>
        <w:drawing>
          <wp:inline distT="0" distB="0" distL="0" distR="0" wp14:anchorId="63C41508" wp14:editId="16AA8677">
            <wp:extent cx="6499860" cy="3444240"/>
            <wp:effectExtent l="0" t="0" r="15240" b="22860"/>
            <wp:docPr id="13" name="Γράφημα 13">
              <a:extLst xmlns:a="http://schemas.openxmlformats.org/drawingml/2006/main">
                <a:ext uri="{FF2B5EF4-FFF2-40B4-BE49-F238E27FC236}">
                  <a16:creationId xmlns:a16="http://schemas.microsoft.com/office/drawing/2014/main" id="{931C5885-E001-4CE1-AC5C-53371FAF6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7BEFC7" w14:textId="26F54AF0" w:rsidR="00906C6F" w:rsidRPr="00E36734" w:rsidRDefault="00A9257F" w:rsidP="00761263">
      <w:pPr>
        <w:spacing w:after="0" w:line="360" w:lineRule="auto"/>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Ειδικότ</w:t>
      </w:r>
      <w:r w:rsidR="004743E2" w:rsidRPr="00E36734">
        <w:rPr>
          <w:rFonts w:ascii="Times New Roman" w:eastAsia="Times New Roman" w:hAnsi="Times New Roman" w:cs="Times New Roman"/>
          <w:color w:val="222222"/>
          <w:sz w:val="24"/>
          <w:szCs w:val="24"/>
          <w:lang w:eastAsia="el-GR"/>
        </w:rPr>
        <w:t>ερα</w:t>
      </w:r>
      <w:r w:rsidR="009048DD" w:rsidRPr="00E36734">
        <w:rPr>
          <w:rFonts w:ascii="Times New Roman" w:eastAsia="Times New Roman" w:hAnsi="Times New Roman" w:cs="Times New Roman"/>
          <w:color w:val="222222"/>
          <w:sz w:val="24"/>
          <w:szCs w:val="24"/>
          <w:lang w:eastAsia="el-GR"/>
        </w:rPr>
        <w:t xml:space="preserve"> για το Β εξάμηνο του 2020</w:t>
      </w:r>
      <w:r w:rsidR="001D2F4E" w:rsidRPr="00E36734">
        <w:rPr>
          <w:rFonts w:ascii="Times New Roman" w:eastAsia="Times New Roman" w:hAnsi="Times New Roman" w:cs="Times New Roman"/>
          <w:color w:val="222222"/>
          <w:sz w:val="24"/>
          <w:szCs w:val="24"/>
          <w:lang w:eastAsia="el-GR"/>
        </w:rPr>
        <w:t>,</w:t>
      </w:r>
      <w:r w:rsidR="004743E2" w:rsidRPr="00E36734">
        <w:rPr>
          <w:rFonts w:ascii="Times New Roman" w:eastAsia="Times New Roman" w:hAnsi="Times New Roman" w:cs="Times New Roman"/>
          <w:color w:val="222222"/>
          <w:sz w:val="24"/>
          <w:szCs w:val="24"/>
          <w:lang w:eastAsia="el-GR"/>
        </w:rPr>
        <w:t xml:space="preserve"> </w:t>
      </w:r>
      <w:bookmarkStart w:id="4" w:name="_Hlk68074810"/>
      <w:r w:rsidR="004743E2" w:rsidRPr="00E36734">
        <w:rPr>
          <w:rFonts w:ascii="Times New Roman" w:eastAsia="Times New Roman" w:hAnsi="Times New Roman" w:cs="Times New Roman"/>
          <w:color w:val="222222"/>
          <w:sz w:val="24"/>
          <w:szCs w:val="24"/>
          <w:lang w:eastAsia="el-GR"/>
        </w:rPr>
        <w:t>8 στις 10 επιχειρήσεις (79,8</w:t>
      </w:r>
      <w:r w:rsidRPr="00E36734">
        <w:rPr>
          <w:rFonts w:ascii="Times New Roman" w:eastAsia="Times New Roman" w:hAnsi="Times New Roman" w:cs="Times New Roman"/>
          <w:color w:val="222222"/>
          <w:sz w:val="24"/>
          <w:szCs w:val="24"/>
          <w:lang w:eastAsia="el-GR"/>
        </w:rPr>
        <w:t>%) δήλωσαν πως η οικονομική κατάσταση τους επιδεινώθηκε</w:t>
      </w:r>
      <w:r w:rsidR="00307DCA" w:rsidRPr="00E36734">
        <w:rPr>
          <w:rFonts w:ascii="Times New Roman" w:eastAsia="Times New Roman" w:hAnsi="Times New Roman" w:cs="Times New Roman"/>
          <w:color w:val="222222"/>
          <w:sz w:val="24"/>
          <w:szCs w:val="24"/>
          <w:lang w:eastAsia="el-GR"/>
        </w:rPr>
        <w:t>,</w:t>
      </w:r>
      <w:r w:rsidRPr="00E36734">
        <w:rPr>
          <w:rFonts w:ascii="Times New Roman" w:eastAsia="Times New Roman" w:hAnsi="Times New Roman" w:cs="Times New Roman"/>
          <w:color w:val="222222"/>
          <w:sz w:val="24"/>
          <w:szCs w:val="24"/>
          <w:lang w:eastAsia="el-GR"/>
        </w:rPr>
        <w:t xml:space="preserve"> έναντι μόλι</w:t>
      </w:r>
      <w:r w:rsidR="004743E2" w:rsidRPr="00E36734">
        <w:rPr>
          <w:rFonts w:ascii="Times New Roman" w:eastAsia="Times New Roman" w:hAnsi="Times New Roman" w:cs="Times New Roman"/>
          <w:color w:val="222222"/>
          <w:sz w:val="24"/>
          <w:szCs w:val="24"/>
          <w:lang w:eastAsia="el-GR"/>
        </w:rPr>
        <w:t>ς 4,2</w:t>
      </w:r>
      <w:r w:rsidRPr="00E36734">
        <w:rPr>
          <w:rFonts w:ascii="Times New Roman" w:eastAsia="Times New Roman" w:hAnsi="Times New Roman" w:cs="Times New Roman"/>
          <w:color w:val="222222"/>
          <w:sz w:val="24"/>
          <w:szCs w:val="24"/>
          <w:lang w:eastAsia="el-GR"/>
        </w:rPr>
        <w:t>% πο</w:t>
      </w:r>
      <w:r w:rsidR="004743E2" w:rsidRPr="00E36734">
        <w:rPr>
          <w:rFonts w:ascii="Times New Roman" w:eastAsia="Times New Roman" w:hAnsi="Times New Roman" w:cs="Times New Roman"/>
          <w:color w:val="222222"/>
          <w:sz w:val="24"/>
          <w:szCs w:val="24"/>
          <w:lang w:eastAsia="el-GR"/>
        </w:rPr>
        <w:t>υ δήλωσε ότι βελτιώθηκε και 15,9</w:t>
      </w:r>
      <w:r w:rsidRPr="00E36734">
        <w:rPr>
          <w:rFonts w:ascii="Times New Roman" w:eastAsia="Times New Roman" w:hAnsi="Times New Roman" w:cs="Times New Roman"/>
          <w:color w:val="222222"/>
          <w:sz w:val="24"/>
          <w:szCs w:val="24"/>
          <w:lang w:eastAsia="el-GR"/>
        </w:rPr>
        <w:t>% που δήλωσε πως παρέμεινε αμετάβλητη</w:t>
      </w:r>
      <w:bookmarkEnd w:id="4"/>
      <w:r w:rsidRPr="00E36734">
        <w:rPr>
          <w:rFonts w:ascii="Times New Roman" w:eastAsia="Times New Roman" w:hAnsi="Times New Roman" w:cs="Times New Roman"/>
          <w:color w:val="222222"/>
          <w:sz w:val="24"/>
          <w:szCs w:val="24"/>
          <w:lang w:eastAsia="el-GR"/>
        </w:rPr>
        <w:t xml:space="preserve"> (Γράφημα 2).</w:t>
      </w:r>
    </w:p>
    <w:p w14:paraId="561DA84D" w14:textId="77777777" w:rsidR="00004C66" w:rsidRPr="00E36734" w:rsidRDefault="00A9257F" w:rsidP="00004C66">
      <w:pPr>
        <w:spacing w:after="0" w:line="360" w:lineRule="auto"/>
        <w:ind w:firstLine="360"/>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Γράφημα </w:t>
      </w:r>
      <w:r w:rsidR="00761263" w:rsidRPr="00E36734">
        <w:rPr>
          <w:rFonts w:ascii="Times New Roman" w:eastAsia="Times New Roman" w:hAnsi="Times New Roman" w:cs="Times New Roman"/>
          <w:b/>
          <w:sz w:val="24"/>
          <w:szCs w:val="24"/>
          <w:lang w:eastAsia="el-GR"/>
        </w:rPr>
        <w:t>2</w:t>
      </w:r>
    </w:p>
    <w:p w14:paraId="1ECAE881" w14:textId="77A027A4" w:rsidR="00A9257F" w:rsidRPr="00E36734" w:rsidRDefault="00004C66" w:rsidP="00004C66">
      <w:pPr>
        <w:spacing w:after="0" w:line="360" w:lineRule="auto"/>
        <w:ind w:firstLine="360"/>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Θεωρείτε ότι η οικονομική κατάσταση της επιχείρησής σας κατά το τελευταίο εξάμηνο :</w:t>
      </w:r>
      <w:r w:rsidR="004743E2" w:rsidRPr="00E36734">
        <w:rPr>
          <w:rFonts w:ascii="Times New Roman" w:hAnsi="Times New Roman" w:cs="Times New Roman"/>
          <w:b/>
          <w:noProof/>
          <w:sz w:val="24"/>
          <w:szCs w:val="24"/>
          <w:u w:val="single"/>
          <w:lang w:eastAsia="el-GR"/>
        </w:rPr>
        <w:drawing>
          <wp:inline distT="0" distB="0" distL="0" distR="0" wp14:anchorId="7B10E70D" wp14:editId="2ED3E396">
            <wp:extent cx="6202680" cy="2918460"/>
            <wp:effectExtent l="0" t="0" r="7620" b="15240"/>
            <wp:docPr id="23" name="Γράφημα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5633E2" w14:textId="2F112E75" w:rsidR="009048DD" w:rsidRPr="00E36734" w:rsidRDefault="009048DD" w:rsidP="00761263">
      <w:pPr>
        <w:spacing w:after="0" w:line="360" w:lineRule="auto"/>
        <w:jc w:val="both"/>
        <w:rPr>
          <w:rFonts w:ascii="Times New Roman" w:hAnsi="Times New Roman" w:cs="Times New Roman"/>
          <w:b/>
          <w:sz w:val="24"/>
          <w:szCs w:val="24"/>
          <w:u w:val="single"/>
        </w:rPr>
      </w:pPr>
    </w:p>
    <w:p w14:paraId="11BDD1B4" w14:textId="662EA9DA" w:rsidR="009048DD" w:rsidRPr="00E36734" w:rsidRDefault="009048DD" w:rsidP="00761263">
      <w:pPr>
        <w:spacing w:after="0" w:line="360" w:lineRule="auto"/>
        <w:jc w:val="both"/>
        <w:rPr>
          <w:rFonts w:ascii="Times New Roman" w:hAnsi="Times New Roman" w:cs="Times New Roman"/>
          <w:bCs/>
          <w:sz w:val="24"/>
          <w:szCs w:val="24"/>
        </w:rPr>
      </w:pPr>
      <w:r w:rsidRPr="00E36734">
        <w:rPr>
          <w:rFonts w:ascii="Times New Roman" w:hAnsi="Times New Roman" w:cs="Times New Roman"/>
          <w:bCs/>
          <w:sz w:val="24"/>
          <w:szCs w:val="24"/>
        </w:rPr>
        <w:t xml:space="preserve">Σε </w:t>
      </w:r>
      <w:r w:rsidR="00032562" w:rsidRPr="00E36734">
        <w:rPr>
          <w:rFonts w:ascii="Times New Roman" w:hAnsi="Times New Roman" w:cs="Times New Roman"/>
          <w:bCs/>
          <w:sz w:val="24"/>
          <w:szCs w:val="24"/>
        </w:rPr>
        <w:t>δυσμενέστερη</w:t>
      </w:r>
      <w:r w:rsidRPr="00E36734">
        <w:rPr>
          <w:rFonts w:ascii="Times New Roman" w:hAnsi="Times New Roman" w:cs="Times New Roman"/>
          <w:bCs/>
          <w:sz w:val="24"/>
          <w:szCs w:val="24"/>
        </w:rPr>
        <w:t xml:space="preserve"> θέση φαίνεται πως βρίσκονται οι επιχειρήσεις που </w:t>
      </w:r>
      <w:r w:rsidR="00032562" w:rsidRPr="00E36734">
        <w:rPr>
          <w:rFonts w:ascii="Times New Roman" w:hAnsi="Times New Roman" w:cs="Times New Roman"/>
          <w:bCs/>
          <w:sz w:val="24"/>
          <w:szCs w:val="24"/>
        </w:rPr>
        <w:t>δραστηριοποιούνται</w:t>
      </w:r>
      <w:r w:rsidRPr="00E36734">
        <w:rPr>
          <w:rFonts w:ascii="Times New Roman" w:hAnsi="Times New Roman" w:cs="Times New Roman"/>
          <w:bCs/>
          <w:sz w:val="24"/>
          <w:szCs w:val="24"/>
        </w:rPr>
        <w:t xml:space="preserve"> στον τομέα των υπηρεσιών (83%), οι μεγαλύτερες σε </w:t>
      </w:r>
      <w:r w:rsidR="00032562" w:rsidRPr="00E36734">
        <w:rPr>
          <w:rFonts w:ascii="Times New Roman" w:hAnsi="Times New Roman" w:cs="Times New Roman"/>
          <w:bCs/>
          <w:sz w:val="24"/>
          <w:szCs w:val="24"/>
        </w:rPr>
        <w:t>ηλικία</w:t>
      </w:r>
      <w:r w:rsidRPr="00E36734">
        <w:rPr>
          <w:rFonts w:ascii="Times New Roman" w:hAnsi="Times New Roman" w:cs="Times New Roman"/>
          <w:bCs/>
          <w:sz w:val="24"/>
          <w:szCs w:val="24"/>
        </w:rPr>
        <w:t xml:space="preserve"> επιχειρήσεις (το 81% των επιχειρήσεων με πάνω από 15 έτη </w:t>
      </w:r>
      <w:r w:rsidR="00032562" w:rsidRPr="00E36734">
        <w:rPr>
          <w:rFonts w:ascii="Times New Roman" w:hAnsi="Times New Roman" w:cs="Times New Roman"/>
          <w:bCs/>
          <w:sz w:val="24"/>
          <w:szCs w:val="24"/>
        </w:rPr>
        <w:lastRenderedPageBreak/>
        <w:t>λειτουργίας</w:t>
      </w:r>
      <w:r w:rsidRPr="00E36734">
        <w:rPr>
          <w:rFonts w:ascii="Times New Roman" w:hAnsi="Times New Roman" w:cs="Times New Roman"/>
          <w:bCs/>
          <w:sz w:val="24"/>
          <w:szCs w:val="24"/>
        </w:rPr>
        <w:t xml:space="preserve"> </w:t>
      </w:r>
      <w:r w:rsidR="00032562" w:rsidRPr="00E36734">
        <w:rPr>
          <w:rFonts w:ascii="Times New Roman" w:hAnsi="Times New Roman" w:cs="Times New Roman"/>
          <w:bCs/>
          <w:sz w:val="24"/>
          <w:szCs w:val="24"/>
        </w:rPr>
        <w:t>δήλωσε</w:t>
      </w:r>
      <w:r w:rsidRPr="00E36734">
        <w:rPr>
          <w:rFonts w:ascii="Times New Roman" w:hAnsi="Times New Roman" w:cs="Times New Roman"/>
          <w:bCs/>
          <w:sz w:val="24"/>
          <w:szCs w:val="24"/>
        </w:rPr>
        <w:t xml:space="preserve"> πως </w:t>
      </w:r>
      <w:r w:rsidR="00032562" w:rsidRPr="00E36734">
        <w:rPr>
          <w:rFonts w:ascii="Times New Roman" w:hAnsi="Times New Roman" w:cs="Times New Roman"/>
          <w:bCs/>
          <w:sz w:val="24"/>
          <w:szCs w:val="24"/>
        </w:rPr>
        <w:t>επιδεινώθηκε</w:t>
      </w:r>
      <w:r w:rsidRPr="00E36734">
        <w:rPr>
          <w:rFonts w:ascii="Times New Roman" w:hAnsi="Times New Roman" w:cs="Times New Roman"/>
          <w:bCs/>
          <w:sz w:val="24"/>
          <w:szCs w:val="24"/>
        </w:rPr>
        <w:t xml:space="preserve"> η οικονομική του κατάσταση), οι μικρότερες με βάση τον τζίρο </w:t>
      </w:r>
      <w:r w:rsidR="00032562" w:rsidRPr="00E36734">
        <w:rPr>
          <w:rFonts w:ascii="Times New Roman" w:hAnsi="Times New Roman" w:cs="Times New Roman"/>
          <w:bCs/>
          <w:sz w:val="24"/>
          <w:szCs w:val="24"/>
        </w:rPr>
        <w:t xml:space="preserve">επιχειρήσεις </w:t>
      </w:r>
      <w:r w:rsidRPr="00E36734">
        <w:rPr>
          <w:rFonts w:ascii="Times New Roman" w:hAnsi="Times New Roman" w:cs="Times New Roman"/>
          <w:bCs/>
          <w:sz w:val="24"/>
          <w:szCs w:val="24"/>
        </w:rPr>
        <w:t>(</w:t>
      </w:r>
      <w:r w:rsidR="00032562" w:rsidRPr="00E36734">
        <w:rPr>
          <w:rFonts w:ascii="Times New Roman" w:hAnsi="Times New Roman" w:cs="Times New Roman"/>
          <w:bCs/>
          <w:sz w:val="24"/>
          <w:szCs w:val="24"/>
        </w:rPr>
        <w:t xml:space="preserve">το 88% των επιχειρήσεων με τζίρο </w:t>
      </w:r>
      <w:r w:rsidR="00483ED8" w:rsidRPr="00E36734">
        <w:rPr>
          <w:rFonts w:ascii="Times New Roman" w:hAnsi="Times New Roman" w:cs="Times New Roman"/>
          <w:bCs/>
          <w:sz w:val="24"/>
          <w:szCs w:val="24"/>
        </w:rPr>
        <w:t>κάτω από</w:t>
      </w:r>
      <w:r w:rsidRPr="00E36734">
        <w:rPr>
          <w:rFonts w:ascii="Times New Roman" w:hAnsi="Times New Roman" w:cs="Times New Roman"/>
          <w:bCs/>
          <w:sz w:val="24"/>
          <w:szCs w:val="24"/>
        </w:rPr>
        <w:t xml:space="preserve"> 50.000€</w:t>
      </w:r>
      <w:r w:rsidR="00032562" w:rsidRPr="00E36734">
        <w:rPr>
          <w:rFonts w:ascii="Times New Roman" w:hAnsi="Times New Roman" w:cs="Times New Roman"/>
          <w:bCs/>
          <w:sz w:val="24"/>
          <w:szCs w:val="24"/>
        </w:rPr>
        <w:t xml:space="preserve"> δήλωσε επιδείνωση της οικονομικής του κατάστασης το τελευταίο εξάμηνο</w:t>
      </w:r>
      <w:r w:rsidRPr="00E36734">
        <w:rPr>
          <w:rFonts w:ascii="Times New Roman" w:hAnsi="Times New Roman" w:cs="Times New Roman"/>
          <w:bCs/>
          <w:sz w:val="24"/>
          <w:szCs w:val="24"/>
        </w:rPr>
        <w:t>)</w:t>
      </w:r>
      <w:r w:rsidR="00032562" w:rsidRPr="00E36734">
        <w:rPr>
          <w:rFonts w:ascii="Times New Roman" w:hAnsi="Times New Roman" w:cs="Times New Roman"/>
          <w:bCs/>
          <w:sz w:val="24"/>
          <w:szCs w:val="24"/>
        </w:rPr>
        <w:t>, οι επιχειρήσεις που δραστηριοποιούνται στην κεντρική Ελλάδα (85,1%), οι επιχειρήσεις χωρίς προσωπικό (84,1%), και οι επιχειρήσεις με 1 άτομο προσωπικό (82,6%) και με 4</w:t>
      </w:r>
      <w:r w:rsidR="00483ED8" w:rsidRPr="00E36734">
        <w:rPr>
          <w:rFonts w:ascii="Times New Roman" w:hAnsi="Times New Roman" w:cs="Times New Roman"/>
          <w:bCs/>
          <w:sz w:val="24"/>
          <w:szCs w:val="24"/>
        </w:rPr>
        <w:t>-</w:t>
      </w:r>
      <w:r w:rsidR="00032562" w:rsidRPr="00E36734">
        <w:rPr>
          <w:rFonts w:ascii="Times New Roman" w:hAnsi="Times New Roman" w:cs="Times New Roman"/>
          <w:bCs/>
          <w:sz w:val="24"/>
          <w:szCs w:val="24"/>
        </w:rPr>
        <w:t xml:space="preserve">5 άτομα προσωπικό (84,4%). </w:t>
      </w:r>
    </w:p>
    <w:p w14:paraId="12E8A441" w14:textId="3FB7689A" w:rsidR="00AA2C38" w:rsidRPr="00E36734" w:rsidRDefault="00AA2C38" w:rsidP="00AA2C38">
      <w:pPr>
        <w:spacing w:after="0" w:line="360" w:lineRule="auto"/>
        <w:jc w:val="both"/>
        <w:rPr>
          <w:rFonts w:ascii="Times New Roman" w:hAnsi="Times New Roman" w:cs="Times New Roman"/>
          <w:bCs/>
          <w:sz w:val="24"/>
          <w:szCs w:val="24"/>
        </w:rPr>
      </w:pPr>
      <w:r w:rsidRPr="00E36734">
        <w:rPr>
          <w:rFonts w:ascii="Times New Roman" w:hAnsi="Times New Roman" w:cs="Times New Roman"/>
          <w:bCs/>
          <w:sz w:val="24"/>
          <w:szCs w:val="24"/>
        </w:rPr>
        <w:t>Από την άλλη μεριά, σχετικά καλύτερα είναι τα ευρήματα για τις μεγαλύτερες με βάση τον κύκλο εργασιών (62,3%) και τον αριθμό εργαζομένων επιχειρήσεις (71,7%),</w:t>
      </w:r>
      <w:r w:rsidR="00483ED8" w:rsidRPr="00E36734">
        <w:rPr>
          <w:rFonts w:ascii="Times New Roman" w:hAnsi="Times New Roman" w:cs="Times New Roman"/>
          <w:bCs/>
          <w:sz w:val="24"/>
          <w:szCs w:val="24"/>
        </w:rPr>
        <w:t xml:space="preserve"> όπως και των νέων επιχειρήσεων (70,9%),</w:t>
      </w:r>
      <w:r w:rsidRPr="00E36734">
        <w:rPr>
          <w:rFonts w:ascii="Times New Roman" w:hAnsi="Times New Roman" w:cs="Times New Roman"/>
          <w:bCs/>
          <w:sz w:val="24"/>
          <w:szCs w:val="24"/>
        </w:rPr>
        <w:t xml:space="preserve"> καθώς τα ποσοστά </w:t>
      </w:r>
      <w:r w:rsidR="00483ED8" w:rsidRPr="00E36734">
        <w:rPr>
          <w:rFonts w:ascii="Times New Roman" w:hAnsi="Times New Roman" w:cs="Times New Roman"/>
          <w:bCs/>
          <w:sz w:val="24"/>
          <w:szCs w:val="24"/>
        </w:rPr>
        <w:t>τους που δείχνουν την</w:t>
      </w:r>
      <w:r w:rsidRPr="00E36734">
        <w:rPr>
          <w:rFonts w:ascii="Times New Roman" w:hAnsi="Times New Roman" w:cs="Times New Roman"/>
          <w:bCs/>
          <w:sz w:val="24"/>
          <w:szCs w:val="24"/>
        </w:rPr>
        <w:t xml:space="preserve"> </w:t>
      </w:r>
      <w:r w:rsidR="00483ED8" w:rsidRPr="00E36734">
        <w:rPr>
          <w:rFonts w:ascii="Times New Roman" w:hAnsi="Times New Roman" w:cs="Times New Roman"/>
          <w:bCs/>
          <w:sz w:val="24"/>
          <w:szCs w:val="24"/>
        </w:rPr>
        <w:t>επιδείνωση της</w:t>
      </w:r>
      <w:r w:rsidRPr="00E36734">
        <w:rPr>
          <w:rFonts w:ascii="Times New Roman" w:hAnsi="Times New Roman" w:cs="Times New Roman"/>
          <w:bCs/>
          <w:sz w:val="24"/>
          <w:szCs w:val="24"/>
        </w:rPr>
        <w:t xml:space="preserve"> οικονομική τους κατάσταση είναι σημαντικά χαμηλότερα έναντι των άλλων (Γράφημα 3). </w:t>
      </w:r>
    </w:p>
    <w:p w14:paraId="30F4BD3F" w14:textId="2002362E" w:rsidR="00AA2C38" w:rsidRPr="00E36734" w:rsidRDefault="00AA2C38" w:rsidP="00AA2C38">
      <w:pPr>
        <w:spacing w:after="0" w:line="360" w:lineRule="auto"/>
        <w:jc w:val="both"/>
        <w:rPr>
          <w:rFonts w:ascii="Times New Roman" w:hAnsi="Times New Roman" w:cs="Times New Roman"/>
          <w:bCs/>
          <w:sz w:val="24"/>
          <w:szCs w:val="24"/>
        </w:rPr>
      </w:pPr>
      <w:r w:rsidRPr="00E36734">
        <w:rPr>
          <w:rFonts w:ascii="Times New Roman" w:hAnsi="Times New Roman" w:cs="Times New Roman"/>
          <w:bCs/>
          <w:sz w:val="24"/>
          <w:szCs w:val="24"/>
        </w:rPr>
        <w:t xml:space="preserve">Οι προαναφερόμενες διαφοροποιήσεις μεταξύ των επιμέρους κατηγοριών επιχειρήσεων σε γενικές γραμμές παρουσιάζουν την ίδια ακολουθία στους δείκτες αποτιμήσεις </w:t>
      </w:r>
      <w:r w:rsidR="00BC68A9" w:rsidRPr="00E36734">
        <w:rPr>
          <w:rFonts w:ascii="Times New Roman" w:hAnsi="Times New Roman" w:cs="Times New Roman"/>
          <w:bCs/>
          <w:sz w:val="24"/>
          <w:szCs w:val="24"/>
        </w:rPr>
        <w:t xml:space="preserve">εξαμήνου </w:t>
      </w:r>
      <w:r w:rsidRPr="00E36734">
        <w:rPr>
          <w:rFonts w:ascii="Times New Roman" w:hAnsi="Times New Roman" w:cs="Times New Roman"/>
          <w:bCs/>
          <w:sz w:val="24"/>
          <w:szCs w:val="24"/>
        </w:rPr>
        <w:t>της οικονομικής κατάστασης των</w:t>
      </w:r>
      <w:r w:rsidR="00E47175" w:rsidRPr="00E36734">
        <w:rPr>
          <w:rFonts w:ascii="Times New Roman" w:hAnsi="Times New Roman" w:cs="Times New Roman"/>
          <w:bCs/>
          <w:sz w:val="24"/>
          <w:szCs w:val="24"/>
        </w:rPr>
        <w:t xml:space="preserve"> μικρών και </w:t>
      </w:r>
      <w:r w:rsidRPr="00E36734">
        <w:rPr>
          <w:rFonts w:ascii="Times New Roman" w:hAnsi="Times New Roman" w:cs="Times New Roman"/>
          <w:bCs/>
          <w:sz w:val="24"/>
          <w:szCs w:val="24"/>
        </w:rPr>
        <w:t xml:space="preserve"> πολύ μικρών επιχειρήσεων της παρούσας ερευνάς. </w:t>
      </w:r>
    </w:p>
    <w:p w14:paraId="4F9A85EB" w14:textId="77777777" w:rsidR="00E47175" w:rsidRPr="00E36734" w:rsidRDefault="00E47175" w:rsidP="00ED02ED">
      <w:pPr>
        <w:spacing w:after="0" w:line="360" w:lineRule="auto"/>
        <w:rPr>
          <w:rFonts w:ascii="Times New Roman" w:hAnsi="Times New Roman" w:cs="Times New Roman"/>
          <w:b/>
          <w:sz w:val="24"/>
          <w:szCs w:val="24"/>
        </w:rPr>
      </w:pPr>
    </w:p>
    <w:p w14:paraId="79DF1B73" w14:textId="39215A85" w:rsidR="00AA2C38" w:rsidRPr="00E36734" w:rsidRDefault="00AA2C38" w:rsidP="00AA2C38">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Γράφημα 3</w:t>
      </w:r>
    </w:p>
    <w:p w14:paraId="1DFE18D8" w14:textId="64AE3FA9" w:rsidR="00AA2C38" w:rsidRPr="00E36734" w:rsidRDefault="00AA2C38" w:rsidP="00ED02ED">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Αποτίμηση οικονομικού κλίματος ΜΜΕ τελευταίου εξαμήνου</w:t>
      </w:r>
      <w:r w:rsidRPr="00E36734">
        <w:rPr>
          <w:rFonts w:ascii="Times New Roman" w:hAnsi="Times New Roman" w:cs="Times New Roman"/>
          <w:b/>
          <w:sz w:val="24"/>
          <w:szCs w:val="24"/>
        </w:rPr>
        <w:br/>
        <w:t xml:space="preserve"> - Ανά κατηγορία -</w:t>
      </w:r>
    </w:p>
    <w:p w14:paraId="3C00A487" w14:textId="081DAB6A" w:rsidR="00AA2C38" w:rsidRPr="00E36734" w:rsidRDefault="00AA2C38" w:rsidP="00AA2C38">
      <w:pPr>
        <w:spacing w:after="0" w:line="360" w:lineRule="auto"/>
        <w:jc w:val="both"/>
        <w:rPr>
          <w:rFonts w:ascii="Times New Roman" w:hAnsi="Times New Roman" w:cs="Times New Roman"/>
          <w:bCs/>
          <w:sz w:val="24"/>
          <w:szCs w:val="24"/>
        </w:rPr>
      </w:pPr>
      <w:r w:rsidRPr="00E36734">
        <w:rPr>
          <w:rFonts w:ascii="Times New Roman" w:hAnsi="Times New Roman" w:cs="Times New Roman"/>
          <w:b/>
          <w:noProof/>
          <w:sz w:val="24"/>
          <w:szCs w:val="24"/>
          <w:u w:val="single"/>
          <w:lang w:eastAsia="el-GR"/>
        </w:rPr>
        <w:drawing>
          <wp:inline distT="0" distB="0" distL="0" distR="0" wp14:anchorId="4CD2F2A8" wp14:editId="53B3EC86">
            <wp:extent cx="6522720" cy="4381500"/>
            <wp:effectExtent l="0" t="0" r="11430" b="19050"/>
            <wp:docPr id="24" name="Γράφημα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A88493" w14:textId="2B48AC82" w:rsidR="00E47175" w:rsidRPr="00E36734" w:rsidRDefault="00BC68A9" w:rsidP="00AA2C38">
      <w:pPr>
        <w:spacing w:after="0" w:line="360" w:lineRule="auto"/>
        <w:jc w:val="both"/>
        <w:rPr>
          <w:rFonts w:ascii="Times New Roman" w:hAnsi="Times New Roman" w:cs="Times New Roman"/>
          <w:bCs/>
          <w:sz w:val="24"/>
          <w:szCs w:val="24"/>
        </w:rPr>
      </w:pPr>
      <w:r w:rsidRPr="00E36734">
        <w:rPr>
          <w:rFonts w:ascii="Times New Roman" w:hAnsi="Times New Roman" w:cs="Times New Roman"/>
          <w:bCs/>
          <w:sz w:val="24"/>
          <w:szCs w:val="24"/>
        </w:rPr>
        <w:lastRenderedPageBreak/>
        <w:t xml:space="preserve">Πλέον των παραπάνω σε δυσμενέστερη θέση φαίνεται πως βρίσκονται οι επιχειρήσεις που έχουν αναστείλει την λειτουργία τους με κρατική εντολή, καθώς το 91,6% των επιχειρήσεων αυτών δήλωσε πως το τελευταίο εξάμηνο επιδεινώθηκε η οικονομική του κατάσταση. Επίσης το 83,2% των επιχειρήσεων που ανήκουν στην κατηγορία των πληττόμενων </w:t>
      </w:r>
      <w:r w:rsidR="00004C66" w:rsidRPr="00E36734">
        <w:rPr>
          <w:rFonts w:ascii="Times New Roman" w:hAnsi="Times New Roman" w:cs="Times New Roman"/>
          <w:bCs/>
          <w:sz w:val="24"/>
          <w:szCs w:val="24"/>
        </w:rPr>
        <w:t>δήλωσ</w:t>
      </w:r>
      <w:r w:rsidR="00E47175" w:rsidRPr="00E36734">
        <w:rPr>
          <w:rFonts w:ascii="Times New Roman" w:hAnsi="Times New Roman" w:cs="Times New Roman"/>
          <w:bCs/>
          <w:sz w:val="24"/>
          <w:szCs w:val="24"/>
        </w:rPr>
        <w:t>ε</w:t>
      </w:r>
      <w:r w:rsidRPr="00E36734">
        <w:rPr>
          <w:rFonts w:ascii="Times New Roman" w:hAnsi="Times New Roman" w:cs="Times New Roman"/>
          <w:bCs/>
          <w:sz w:val="24"/>
          <w:szCs w:val="24"/>
        </w:rPr>
        <w:t xml:space="preserve"> πως </w:t>
      </w:r>
      <w:r w:rsidR="00004C66" w:rsidRPr="00E36734">
        <w:rPr>
          <w:rFonts w:ascii="Times New Roman" w:hAnsi="Times New Roman" w:cs="Times New Roman"/>
          <w:bCs/>
          <w:sz w:val="24"/>
          <w:szCs w:val="24"/>
        </w:rPr>
        <w:t>επιδεινώθηκε</w:t>
      </w:r>
      <w:r w:rsidRPr="00E36734">
        <w:rPr>
          <w:rFonts w:ascii="Times New Roman" w:hAnsi="Times New Roman" w:cs="Times New Roman"/>
          <w:bCs/>
          <w:sz w:val="24"/>
          <w:szCs w:val="24"/>
        </w:rPr>
        <w:t xml:space="preserve"> η οικονομική του κατάσταση το </w:t>
      </w:r>
      <w:r w:rsidR="00004C66" w:rsidRPr="00E36734">
        <w:rPr>
          <w:rFonts w:ascii="Times New Roman" w:hAnsi="Times New Roman" w:cs="Times New Roman"/>
          <w:bCs/>
          <w:sz w:val="24"/>
          <w:szCs w:val="24"/>
        </w:rPr>
        <w:t>τελευταίο</w:t>
      </w:r>
      <w:r w:rsidRPr="00E36734">
        <w:rPr>
          <w:rFonts w:ascii="Times New Roman" w:hAnsi="Times New Roman" w:cs="Times New Roman"/>
          <w:bCs/>
          <w:sz w:val="24"/>
          <w:szCs w:val="24"/>
        </w:rPr>
        <w:t xml:space="preserve"> εξάμηνο. Από την άλλη μεριά </w:t>
      </w:r>
      <w:r w:rsidR="00E47175" w:rsidRPr="00E36734">
        <w:rPr>
          <w:rFonts w:ascii="Times New Roman" w:hAnsi="Times New Roman" w:cs="Times New Roman"/>
          <w:bCs/>
          <w:sz w:val="24"/>
          <w:szCs w:val="24"/>
        </w:rPr>
        <w:t>χαμηλότερο είναι το ποσοστό (</w:t>
      </w:r>
      <w:r w:rsidRPr="00E36734">
        <w:rPr>
          <w:rFonts w:ascii="Times New Roman" w:hAnsi="Times New Roman" w:cs="Times New Roman"/>
          <w:bCs/>
          <w:sz w:val="24"/>
          <w:szCs w:val="24"/>
        </w:rPr>
        <w:t>59%</w:t>
      </w:r>
      <w:r w:rsidR="00E47175" w:rsidRPr="00E36734">
        <w:rPr>
          <w:rFonts w:ascii="Times New Roman" w:hAnsi="Times New Roman" w:cs="Times New Roman"/>
          <w:bCs/>
          <w:sz w:val="24"/>
          <w:szCs w:val="24"/>
        </w:rPr>
        <w:t>)</w:t>
      </w:r>
      <w:r w:rsidRPr="00E36734">
        <w:rPr>
          <w:rFonts w:ascii="Times New Roman" w:hAnsi="Times New Roman" w:cs="Times New Roman"/>
          <w:bCs/>
          <w:sz w:val="24"/>
          <w:szCs w:val="24"/>
        </w:rPr>
        <w:t xml:space="preserve"> των επιχειρήσεων που δεν εμπίπτουν σε καμία από τις παραπάνω </w:t>
      </w:r>
      <w:r w:rsidR="001D2F4E" w:rsidRPr="00E36734">
        <w:rPr>
          <w:rFonts w:ascii="Times New Roman" w:hAnsi="Times New Roman" w:cs="Times New Roman"/>
          <w:bCs/>
          <w:sz w:val="24"/>
          <w:szCs w:val="24"/>
        </w:rPr>
        <w:t xml:space="preserve">κατηγορίες </w:t>
      </w:r>
      <w:r w:rsidR="00E47175" w:rsidRPr="00E36734">
        <w:rPr>
          <w:rFonts w:ascii="Times New Roman" w:hAnsi="Times New Roman" w:cs="Times New Roman"/>
          <w:bCs/>
          <w:sz w:val="24"/>
          <w:szCs w:val="24"/>
        </w:rPr>
        <w:t xml:space="preserve">και </w:t>
      </w:r>
      <w:r w:rsidRPr="00E36734">
        <w:rPr>
          <w:rFonts w:ascii="Times New Roman" w:hAnsi="Times New Roman" w:cs="Times New Roman"/>
          <w:bCs/>
          <w:sz w:val="24"/>
          <w:szCs w:val="24"/>
        </w:rPr>
        <w:t xml:space="preserve">δήλωσε πως το τελευταίο εξάμηνο </w:t>
      </w:r>
      <w:r w:rsidR="00004C66" w:rsidRPr="00E36734">
        <w:rPr>
          <w:rFonts w:ascii="Times New Roman" w:hAnsi="Times New Roman" w:cs="Times New Roman"/>
          <w:bCs/>
          <w:sz w:val="24"/>
          <w:szCs w:val="24"/>
        </w:rPr>
        <w:t>επιδεινώθηκε</w:t>
      </w:r>
      <w:r w:rsidRPr="00E36734">
        <w:rPr>
          <w:rFonts w:ascii="Times New Roman" w:hAnsi="Times New Roman" w:cs="Times New Roman"/>
          <w:bCs/>
          <w:sz w:val="24"/>
          <w:szCs w:val="24"/>
        </w:rPr>
        <w:t xml:space="preserve"> η </w:t>
      </w:r>
      <w:r w:rsidR="00004C66" w:rsidRPr="00E36734">
        <w:rPr>
          <w:rFonts w:ascii="Times New Roman" w:hAnsi="Times New Roman" w:cs="Times New Roman"/>
          <w:bCs/>
          <w:sz w:val="24"/>
          <w:szCs w:val="24"/>
        </w:rPr>
        <w:t>οικονομική</w:t>
      </w:r>
      <w:r w:rsidRPr="00E36734">
        <w:rPr>
          <w:rFonts w:ascii="Times New Roman" w:hAnsi="Times New Roman" w:cs="Times New Roman"/>
          <w:bCs/>
          <w:sz w:val="24"/>
          <w:szCs w:val="24"/>
        </w:rPr>
        <w:t xml:space="preserve"> του κατάσταση</w:t>
      </w:r>
      <w:r w:rsidR="00004C66" w:rsidRPr="00E36734">
        <w:rPr>
          <w:rFonts w:ascii="Times New Roman" w:hAnsi="Times New Roman" w:cs="Times New Roman"/>
          <w:bCs/>
          <w:sz w:val="24"/>
          <w:szCs w:val="24"/>
        </w:rPr>
        <w:t>. Το ποσοστό αυτό</w:t>
      </w:r>
      <w:r w:rsidR="00B800A3" w:rsidRPr="00E36734">
        <w:rPr>
          <w:rFonts w:ascii="Times New Roman" w:hAnsi="Times New Roman" w:cs="Times New Roman"/>
          <w:bCs/>
          <w:sz w:val="24"/>
          <w:szCs w:val="24"/>
        </w:rPr>
        <w:t>,</w:t>
      </w:r>
      <w:r w:rsidR="00004C66" w:rsidRPr="00E36734">
        <w:rPr>
          <w:rFonts w:ascii="Times New Roman" w:hAnsi="Times New Roman" w:cs="Times New Roman"/>
          <w:bCs/>
          <w:sz w:val="24"/>
          <w:szCs w:val="24"/>
        </w:rPr>
        <w:t xml:space="preserve"> παρόλο που είναι πολύ χαμηλότερο σε σχέση με τις επιχειρήσεις που </w:t>
      </w:r>
      <w:r w:rsidR="008345E5" w:rsidRPr="00E36734">
        <w:rPr>
          <w:rFonts w:ascii="Times New Roman" w:hAnsi="Times New Roman" w:cs="Times New Roman"/>
          <w:bCs/>
          <w:sz w:val="24"/>
          <w:szCs w:val="24"/>
        </w:rPr>
        <w:t>ανέστειλα</w:t>
      </w:r>
      <w:r w:rsidR="00E47175" w:rsidRPr="00E36734">
        <w:rPr>
          <w:rFonts w:ascii="Times New Roman" w:hAnsi="Times New Roman" w:cs="Times New Roman"/>
          <w:bCs/>
          <w:sz w:val="24"/>
          <w:szCs w:val="24"/>
        </w:rPr>
        <w:t>ν</w:t>
      </w:r>
      <w:r w:rsidR="008345E5" w:rsidRPr="00E36734">
        <w:rPr>
          <w:rFonts w:ascii="Times New Roman" w:hAnsi="Times New Roman" w:cs="Times New Roman"/>
          <w:bCs/>
          <w:sz w:val="24"/>
          <w:szCs w:val="24"/>
        </w:rPr>
        <w:t xml:space="preserve"> την λειτουργία τους</w:t>
      </w:r>
      <w:r w:rsidR="00004C66" w:rsidRPr="00E36734">
        <w:rPr>
          <w:rFonts w:ascii="Times New Roman" w:hAnsi="Times New Roman" w:cs="Times New Roman"/>
          <w:bCs/>
          <w:sz w:val="24"/>
          <w:szCs w:val="24"/>
        </w:rPr>
        <w:t xml:space="preserve"> με κρατική εντολή ή/και ορίστηκαν ως πληττόμενες</w:t>
      </w:r>
      <w:r w:rsidR="00B800A3" w:rsidRPr="00E36734">
        <w:rPr>
          <w:rFonts w:ascii="Times New Roman" w:hAnsi="Times New Roman" w:cs="Times New Roman"/>
          <w:bCs/>
          <w:sz w:val="24"/>
          <w:szCs w:val="24"/>
        </w:rPr>
        <w:t>,</w:t>
      </w:r>
      <w:r w:rsidR="00004C66" w:rsidRPr="00E36734">
        <w:rPr>
          <w:rFonts w:ascii="Times New Roman" w:hAnsi="Times New Roman" w:cs="Times New Roman"/>
          <w:bCs/>
          <w:sz w:val="24"/>
          <w:szCs w:val="24"/>
        </w:rPr>
        <w:t xml:space="preserve"> παραμένει </w:t>
      </w:r>
      <w:r w:rsidR="008345E5" w:rsidRPr="00E36734">
        <w:rPr>
          <w:rFonts w:ascii="Times New Roman" w:hAnsi="Times New Roman" w:cs="Times New Roman"/>
          <w:bCs/>
          <w:sz w:val="24"/>
          <w:szCs w:val="24"/>
        </w:rPr>
        <w:t>ιδιαίτερα</w:t>
      </w:r>
      <w:r w:rsidR="00004C66" w:rsidRPr="00E36734">
        <w:rPr>
          <w:rFonts w:ascii="Times New Roman" w:hAnsi="Times New Roman" w:cs="Times New Roman"/>
          <w:bCs/>
          <w:sz w:val="24"/>
          <w:szCs w:val="24"/>
        </w:rPr>
        <w:t xml:space="preserve"> </w:t>
      </w:r>
      <w:r w:rsidR="0091560F" w:rsidRPr="00E36734">
        <w:rPr>
          <w:rFonts w:ascii="Times New Roman" w:hAnsi="Times New Roman" w:cs="Times New Roman"/>
          <w:bCs/>
          <w:sz w:val="24"/>
          <w:szCs w:val="24"/>
        </w:rPr>
        <w:t>υψηλό</w:t>
      </w:r>
      <w:r w:rsidR="00004C66" w:rsidRPr="00E36734">
        <w:rPr>
          <w:rFonts w:ascii="Times New Roman" w:hAnsi="Times New Roman" w:cs="Times New Roman"/>
          <w:bCs/>
          <w:sz w:val="24"/>
          <w:szCs w:val="24"/>
        </w:rPr>
        <w:t xml:space="preserve"> </w:t>
      </w:r>
      <w:r w:rsidR="008345E5" w:rsidRPr="00E36734">
        <w:rPr>
          <w:rFonts w:ascii="Times New Roman" w:hAnsi="Times New Roman" w:cs="Times New Roman"/>
          <w:bCs/>
          <w:sz w:val="24"/>
          <w:szCs w:val="24"/>
        </w:rPr>
        <w:t xml:space="preserve">γεγονός </w:t>
      </w:r>
      <w:r w:rsidR="00004C66" w:rsidRPr="00E36734">
        <w:rPr>
          <w:rFonts w:ascii="Times New Roman" w:hAnsi="Times New Roman" w:cs="Times New Roman"/>
          <w:bCs/>
          <w:sz w:val="24"/>
          <w:szCs w:val="24"/>
        </w:rPr>
        <w:t xml:space="preserve">που καταδεικνύει το μέγεθος της οικονομικής καθίζησης που υπέστησαν οι πολύ μικρές και </w:t>
      </w:r>
      <w:r w:rsidR="008345E5" w:rsidRPr="00E36734">
        <w:rPr>
          <w:rFonts w:ascii="Times New Roman" w:hAnsi="Times New Roman" w:cs="Times New Roman"/>
          <w:bCs/>
          <w:sz w:val="24"/>
          <w:szCs w:val="24"/>
        </w:rPr>
        <w:t>μικρές</w:t>
      </w:r>
      <w:r w:rsidR="00004C66" w:rsidRPr="00E36734">
        <w:rPr>
          <w:rFonts w:ascii="Times New Roman" w:hAnsi="Times New Roman" w:cs="Times New Roman"/>
          <w:bCs/>
          <w:sz w:val="24"/>
          <w:szCs w:val="24"/>
        </w:rPr>
        <w:t xml:space="preserve"> επιχειρήσεις.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792"/>
        <w:gridCol w:w="2581"/>
        <w:gridCol w:w="2439"/>
        <w:gridCol w:w="2560"/>
      </w:tblGrid>
      <w:tr w:rsidR="00F37328" w:rsidRPr="00E36734" w14:paraId="0CF5E203" w14:textId="77777777" w:rsidTr="00F37328">
        <w:trPr>
          <w:trHeight w:val="458"/>
        </w:trPr>
        <w:tc>
          <w:tcPr>
            <w:tcW w:w="1346" w:type="pct"/>
            <w:vMerge w:val="restart"/>
            <w:shd w:val="clear" w:color="auto" w:fill="FDEADA"/>
            <w:tcMar>
              <w:top w:w="12" w:type="dxa"/>
              <w:left w:w="12" w:type="dxa"/>
              <w:bottom w:w="0" w:type="dxa"/>
              <w:right w:w="12" w:type="dxa"/>
            </w:tcMar>
            <w:vAlign w:val="bottom"/>
            <w:hideMark/>
          </w:tcPr>
          <w:p w14:paraId="4920AE3B" w14:textId="77777777" w:rsidR="00E47175" w:rsidRPr="00E36734" w:rsidRDefault="00E47175" w:rsidP="00E47175">
            <w:pPr>
              <w:spacing w:after="0" w:line="360" w:lineRule="auto"/>
              <w:jc w:val="center"/>
              <w:rPr>
                <w:rFonts w:ascii="Arial" w:eastAsia="Times New Roman" w:hAnsi="Arial" w:cs="Arial"/>
                <w:b/>
                <w:bCs/>
                <w:sz w:val="18"/>
                <w:szCs w:val="18"/>
                <w:lang w:eastAsia="el-GR"/>
              </w:rPr>
            </w:pPr>
            <w:r w:rsidRPr="00E36734">
              <w:rPr>
                <w:rFonts w:ascii="Arial" w:eastAsia="Times New Roman" w:hAnsi="Arial" w:cs="Arial"/>
                <w:b/>
                <w:bCs/>
                <w:sz w:val="18"/>
                <w:szCs w:val="18"/>
                <w:lang w:eastAsia="el-GR"/>
              </w:rPr>
              <w:t>Πίνακας 1</w:t>
            </w:r>
          </w:p>
          <w:p w14:paraId="4E048FAD" w14:textId="19861D59" w:rsidR="00F37328" w:rsidRPr="00E36734" w:rsidRDefault="00004C66" w:rsidP="00004C66">
            <w:pPr>
              <w:spacing w:after="0" w:line="360" w:lineRule="auto"/>
              <w:jc w:val="both"/>
              <w:rPr>
                <w:rFonts w:ascii="Arial" w:eastAsia="Times New Roman" w:hAnsi="Arial" w:cs="Arial"/>
                <w:sz w:val="18"/>
                <w:szCs w:val="18"/>
                <w:lang w:eastAsia="el-GR"/>
              </w:rPr>
            </w:pPr>
            <w:r w:rsidRPr="00E36734">
              <w:rPr>
                <w:rFonts w:ascii="Arial" w:eastAsia="Times New Roman" w:hAnsi="Arial" w:cs="Arial"/>
                <w:sz w:val="18"/>
                <w:szCs w:val="18"/>
                <w:lang w:eastAsia="el-GR"/>
              </w:rPr>
              <w:t>Θεωρείτε ότι η οικονομική κατάσταση της επιχείρησής σας κατά το τελευταίο εξάμηνο :</w:t>
            </w:r>
          </w:p>
        </w:tc>
        <w:tc>
          <w:tcPr>
            <w:tcW w:w="3654" w:type="pct"/>
            <w:gridSpan w:val="3"/>
            <w:shd w:val="clear" w:color="auto" w:fill="FDEADA"/>
            <w:tcMar>
              <w:top w:w="12" w:type="dxa"/>
              <w:left w:w="12" w:type="dxa"/>
              <w:bottom w:w="0" w:type="dxa"/>
              <w:right w:w="12" w:type="dxa"/>
            </w:tcMar>
            <w:vAlign w:val="center"/>
            <w:hideMark/>
          </w:tcPr>
          <w:p w14:paraId="2008CEE5" w14:textId="77777777" w:rsidR="004743E2" w:rsidRPr="00E36734" w:rsidRDefault="00F37328"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Επιχειρήσεις που το τελευταίο εξάμηνο...</w:t>
            </w:r>
          </w:p>
        </w:tc>
      </w:tr>
      <w:tr w:rsidR="00F37328" w:rsidRPr="00E36734" w14:paraId="2BEC9625" w14:textId="77777777" w:rsidTr="00F37328">
        <w:trPr>
          <w:trHeight w:val="872"/>
        </w:trPr>
        <w:tc>
          <w:tcPr>
            <w:tcW w:w="1346" w:type="pct"/>
            <w:vMerge/>
            <w:shd w:val="clear" w:color="auto" w:fill="FDEADA"/>
            <w:tcMar>
              <w:top w:w="12" w:type="dxa"/>
              <w:left w:w="12" w:type="dxa"/>
              <w:bottom w:w="0" w:type="dxa"/>
              <w:right w:w="12" w:type="dxa"/>
            </w:tcMar>
            <w:vAlign w:val="bottom"/>
            <w:hideMark/>
          </w:tcPr>
          <w:p w14:paraId="4FEC571E" w14:textId="77777777" w:rsidR="00F37328" w:rsidRPr="00E36734" w:rsidRDefault="00F37328" w:rsidP="004743E2">
            <w:pPr>
              <w:spacing w:after="0" w:line="240" w:lineRule="auto"/>
              <w:rPr>
                <w:rFonts w:ascii="Arial" w:eastAsia="Times New Roman" w:hAnsi="Arial" w:cs="Arial"/>
                <w:sz w:val="16"/>
                <w:szCs w:val="16"/>
                <w:lang w:eastAsia="el-GR"/>
              </w:rPr>
            </w:pPr>
          </w:p>
        </w:tc>
        <w:tc>
          <w:tcPr>
            <w:tcW w:w="1244" w:type="pct"/>
            <w:shd w:val="clear" w:color="auto" w:fill="FDEADA"/>
            <w:tcMar>
              <w:top w:w="12" w:type="dxa"/>
              <w:left w:w="12" w:type="dxa"/>
              <w:bottom w:w="0" w:type="dxa"/>
              <w:right w:w="12" w:type="dxa"/>
            </w:tcMar>
            <w:vAlign w:val="center"/>
            <w:hideMark/>
          </w:tcPr>
          <w:p w14:paraId="051512F5" w14:textId="77777777" w:rsidR="00F37328" w:rsidRPr="00E36734" w:rsidRDefault="00F37328" w:rsidP="004743E2">
            <w:pPr>
              <w:spacing w:after="0" w:line="240" w:lineRule="auto"/>
              <w:jc w:val="center"/>
              <w:textAlignment w:val="center"/>
              <w:rPr>
                <w:rFonts w:ascii="Microsoft JhengHei UI" w:eastAsia="Microsoft JhengHei UI" w:hAnsi="Microsoft JhengHei UI" w:cs="Arial"/>
                <w:color w:val="000000"/>
                <w:kern w:val="24"/>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 xml:space="preserve">ανέστειλαν την δραστηριότητα </w:t>
            </w:r>
          </w:p>
          <w:p w14:paraId="38D7056C" w14:textId="1484FB3A" w:rsidR="004743E2" w:rsidRPr="00E36734" w:rsidRDefault="00F37328"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color w:val="000000"/>
                <w:kern w:val="24"/>
                <w:sz w:val="16"/>
                <w:szCs w:val="16"/>
                <w:lang w:eastAsia="el-GR"/>
              </w:rPr>
              <w:t>τ</w:t>
            </w:r>
            <w:r w:rsidRPr="00E36734">
              <w:rPr>
                <w:rFonts w:ascii="Microsoft JhengHei UI" w:eastAsia="Microsoft JhengHei UI" w:hAnsi="Microsoft JhengHei UI" w:cs="Arial" w:hint="eastAsia"/>
                <w:color w:val="000000"/>
                <w:kern w:val="24"/>
                <w:sz w:val="16"/>
                <w:szCs w:val="16"/>
                <w:lang w:eastAsia="el-GR"/>
              </w:rPr>
              <w:t>ους με κρατική εντολή</w:t>
            </w:r>
          </w:p>
        </w:tc>
        <w:tc>
          <w:tcPr>
            <w:tcW w:w="1176" w:type="pct"/>
            <w:shd w:val="clear" w:color="auto" w:fill="FDEADA"/>
            <w:tcMar>
              <w:top w:w="12" w:type="dxa"/>
              <w:left w:w="12" w:type="dxa"/>
              <w:bottom w:w="0" w:type="dxa"/>
              <w:right w:w="12" w:type="dxa"/>
            </w:tcMar>
            <w:vAlign w:val="center"/>
            <w:hideMark/>
          </w:tcPr>
          <w:p w14:paraId="2BF7CCD0" w14:textId="77777777" w:rsidR="004743E2" w:rsidRPr="00E36734" w:rsidRDefault="00F37328"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ανήκαν στις πληττόμενες βάσει ΚΑΔ επιχειρήσεις</w:t>
            </w:r>
          </w:p>
        </w:tc>
        <w:tc>
          <w:tcPr>
            <w:tcW w:w="1234" w:type="pct"/>
            <w:shd w:val="clear" w:color="auto" w:fill="FDEADA"/>
            <w:tcMar>
              <w:top w:w="12" w:type="dxa"/>
              <w:left w:w="12" w:type="dxa"/>
              <w:bottom w:w="0" w:type="dxa"/>
              <w:right w:w="12" w:type="dxa"/>
            </w:tcMar>
            <w:vAlign w:val="center"/>
            <w:hideMark/>
          </w:tcPr>
          <w:p w14:paraId="4CA6AFB7" w14:textId="77777777" w:rsidR="00F37328" w:rsidRPr="00E36734" w:rsidRDefault="00F37328" w:rsidP="004743E2">
            <w:pPr>
              <w:spacing w:after="0" w:line="240" w:lineRule="auto"/>
              <w:jc w:val="center"/>
              <w:textAlignment w:val="center"/>
              <w:rPr>
                <w:rFonts w:ascii="Microsoft JhengHei UI" w:eastAsia="Microsoft JhengHei UI" w:hAnsi="Microsoft JhengHei UI" w:cs="Arial"/>
                <w:color w:val="000000"/>
                <w:kern w:val="24"/>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 xml:space="preserve">Δεν ανήκαν σε καμία από τις </w:t>
            </w:r>
          </w:p>
          <w:p w14:paraId="5C791377" w14:textId="31AFD4EB" w:rsidR="004743E2" w:rsidRPr="00E36734" w:rsidRDefault="00F37328"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παραπάνω κατηγορίες</w:t>
            </w:r>
          </w:p>
        </w:tc>
      </w:tr>
      <w:tr w:rsidR="004743E2" w:rsidRPr="00E36734" w14:paraId="203A5E94" w14:textId="77777777" w:rsidTr="00F37328">
        <w:trPr>
          <w:trHeight w:val="458"/>
        </w:trPr>
        <w:tc>
          <w:tcPr>
            <w:tcW w:w="1346" w:type="pct"/>
            <w:shd w:val="clear" w:color="auto" w:fill="auto"/>
            <w:tcMar>
              <w:top w:w="12" w:type="dxa"/>
              <w:left w:w="12" w:type="dxa"/>
              <w:bottom w:w="0" w:type="dxa"/>
              <w:right w:w="12" w:type="dxa"/>
            </w:tcMar>
            <w:vAlign w:val="center"/>
            <w:hideMark/>
          </w:tcPr>
          <w:p w14:paraId="2E48E215" w14:textId="77777777" w:rsidR="004743E2" w:rsidRPr="00E36734" w:rsidRDefault="004743E2" w:rsidP="004743E2">
            <w:pPr>
              <w:spacing w:after="0" w:line="240" w:lineRule="auto"/>
              <w:textAlignment w:val="bottom"/>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Βελτιώθηκε</w:t>
            </w:r>
          </w:p>
        </w:tc>
        <w:tc>
          <w:tcPr>
            <w:tcW w:w="1244" w:type="pct"/>
            <w:shd w:val="clear" w:color="auto" w:fill="auto"/>
            <w:tcMar>
              <w:top w:w="12" w:type="dxa"/>
              <w:left w:w="12" w:type="dxa"/>
              <w:bottom w:w="0" w:type="dxa"/>
              <w:right w:w="12" w:type="dxa"/>
            </w:tcMar>
            <w:vAlign w:val="center"/>
            <w:hideMark/>
          </w:tcPr>
          <w:p w14:paraId="3D1614E6"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2.1</w:t>
            </w:r>
          </w:p>
        </w:tc>
        <w:tc>
          <w:tcPr>
            <w:tcW w:w="1176" w:type="pct"/>
            <w:shd w:val="clear" w:color="auto" w:fill="auto"/>
            <w:tcMar>
              <w:top w:w="12" w:type="dxa"/>
              <w:left w:w="12" w:type="dxa"/>
              <w:bottom w:w="0" w:type="dxa"/>
              <w:right w:w="12" w:type="dxa"/>
            </w:tcMar>
            <w:vAlign w:val="center"/>
            <w:hideMark/>
          </w:tcPr>
          <w:p w14:paraId="132C8A28"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2.8</w:t>
            </w:r>
          </w:p>
        </w:tc>
        <w:tc>
          <w:tcPr>
            <w:tcW w:w="1234" w:type="pct"/>
            <w:shd w:val="clear" w:color="auto" w:fill="auto"/>
            <w:tcMar>
              <w:top w:w="12" w:type="dxa"/>
              <w:left w:w="12" w:type="dxa"/>
              <w:bottom w:w="0" w:type="dxa"/>
              <w:right w:w="12" w:type="dxa"/>
            </w:tcMar>
            <w:vAlign w:val="center"/>
            <w:hideMark/>
          </w:tcPr>
          <w:p w14:paraId="2EBCE8C3"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9.8</w:t>
            </w:r>
          </w:p>
        </w:tc>
      </w:tr>
      <w:tr w:rsidR="004743E2" w:rsidRPr="00E36734" w14:paraId="0149B11F" w14:textId="77777777" w:rsidTr="00F37328">
        <w:trPr>
          <w:trHeight w:val="458"/>
        </w:trPr>
        <w:tc>
          <w:tcPr>
            <w:tcW w:w="1346" w:type="pct"/>
            <w:shd w:val="clear" w:color="auto" w:fill="auto"/>
            <w:tcMar>
              <w:top w:w="12" w:type="dxa"/>
              <w:left w:w="12" w:type="dxa"/>
              <w:bottom w:w="0" w:type="dxa"/>
              <w:right w:w="12" w:type="dxa"/>
            </w:tcMar>
            <w:vAlign w:val="center"/>
            <w:hideMark/>
          </w:tcPr>
          <w:p w14:paraId="7A4B1028" w14:textId="77777777" w:rsidR="004743E2" w:rsidRPr="00E36734" w:rsidRDefault="004743E2" w:rsidP="004743E2">
            <w:pPr>
              <w:spacing w:after="0" w:line="240" w:lineRule="auto"/>
              <w:textAlignment w:val="bottom"/>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Επιδεινώθηκε</w:t>
            </w:r>
          </w:p>
        </w:tc>
        <w:tc>
          <w:tcPr>
            <w:tcW w:w="1244" w:type="pct"/>
            <w:shd w:val="clear" w:color="auto" w:fill="auto"/>
            <w:tcMar>
              <w:top w:w="12" w:type="dxa"/>
              <w:left w:w="12" w:type="dxa"/>
              <w:bottom w:w="0" w:type="dxa"/>
              <w:right w:w="12" w:type="dxa"/>
            </w:tcMar>
            <w:vAlign w:val="center"/>
            <w:hideMark/>
          </w:tcPr>
          <w:p w14:paraId="2CB7B7CF"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91.6</w:t>
            </w:r>
          </w:p>
        </w:tc>
        <w:tc>
          <w:tcPr>
            <w:tcW w:w="1176" w:type="pct"/>
            <w:shd w:val="clear" w:color="auto" w:fill="auto"/>
            <w:tcMar>
              <w:top w:w="12" w:type="dxa"/>
              <w:left w:w="12" w:type="dxa"/>
              <w:bottom w:w="0" w:type="dxa"/>
              <w:right w:w="12" w:type="dxa"/>
            </w:tcMar>
            <w:vAlign w:val="center"/>
            <w:hideMark/>
          </w:tcPr>
          <w:p w14:paraId="1F133B9F"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83.2</w:t>
            </w:r>
          </w:p>
        </w:tc>
        <w:tc>
          <w:tcPr>
            <w:tcW w:w="1234" w:type="pct"/>
            <w:shd w:val="clear" w:color="auto" w:fill="auto"/>
            <w:tcMar>
              <w:top w:w="12" w:type="dxa"/>
              <w:left w:w="12" w:type="dxa"/>
              <w:bottom w:w="0" w:type="dxa"/>
              <w:right w:w="12" w:type="dxa"/>
            </w:tcMar>
            <w:vAlign w:val="center"/>
            <w:hideMark/>
          </w:tcPr>
          <w:p w14:paraId="3FE2F7D0"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59</w:t>
            </w:r>
          </w:p>
        </w:tc>
      </w:tr>
      <w:tr w:rsidR="004743E2" w:rsidRPr="00E36734" w14:paraId="0F37FD6F" w14:textId="77777777" w:rsidTr="00F37328">
        <w:trPr>
          <w:trHeight w:val="458"/>
        </w:trPr>
        <w:tc>
          <w:tcPr>
            <w:tcW w:w="1346" w:type="pct"/>
            <w:shd w:val="clear" w:color="auto" w:fill="auto"/>
            <w:tcMar>
              <w:top w:w="12" w:type="dxa"/>
              <w:left w:w="12" w:type="dxa"/>
              <w:bottom w:w="0" w:type="dxa"/>
              <w:right w:w="12" w:type="dxa"/>
            </w:tcMar>
            <w:vAlign w:val="center"/>
            <w:hideMark/>
          </w:tcPr>
          <w:p w14:paraId="031C9B7A" w14:textId="77777777" w:rsidR="004743E2" w:rsidRPr="00E36734" w:rsidRDefault="004743E2" w:rsidP="004743E2">
            <w:pPr>
              <w:spacing w:after="0" w:line="240" w:lineRule="auto"/>
              <w:textAlignment w:val="bottom"/>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Παρέμεινε αμετάβλητη</w:t>
            </w:r>
          </w:p>
        </w:tc>
        <w:tc>
          <w:tcPr>
            <w:tcW w:w="1244" w:type="pct"/>
            <w:shd w:val="clear" w:color="auto" w:fill="auto"/>
            <w:tcMar>
              <w:top w:w="12" w:type="dxa"/>
              <w:left w:w="12" w:type="dxa"/>
              <w:bottom w:w="0" w:type="dxa"/>
              <w:right w:w="12" w:type="dxa"/>
            </w:tcMar>
            <w:vAlign w:val="center"/>
            <w:hideMark/>
          </w:tcPr>
          <w:p w14:paraId="7B85470C"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6.3</w:t>
            </w:r>
          </w:p>
        </w:tc>
        <w:tc>
          <w:tcPr>
            <w:tcW w:w="1176" w:type="pct"/>
            <w:shd w:val="clear" w:color="auto" w:fill="auto"/>
            <w:tcMar>
              <w:top w:w="12" w:type="dxa"/>
              <w:left w:w="12" w:type="dxa"/>
              <w:bottom w:w="0" w:type="dxa"/>
              <w:right w:w="12" w:type="dxa"/>
            </w:tcMar>
            <w:vAlign w:val="center"/>
            <w:hideMark/>
          </w:tcPr>
          <w:p w14:paraId="430397BF"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13.7</w:t>
            </w:r>
          </w:p>
        </w:tc>
        <w:tc>
          <w:tcPr>
            <w:tcW w:w="1234" w:type="pct"/>
            <w:shd w:val="clear" w:color="auto" w:fill="auto"/>
            <w:tcMar>
              <w:top w:w="12" w:type="dxa"/>
              <w:left w:w="12" w:type="dxa"/>
              <w:bottom w:w="0" w:type="dxa"/>
              <w:right w:w="12" w:type="dxa"/>
            </w:tcMar>
            <w:vAlign w:val="center"/>
            <w:hideMark/>
          </w:tcPr>
          <w:p w14:paraId="7BE1599E"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31.1</w:t>
            </w:r>
          </w:p>
        </w:tc>
      </w:tr>
      <w:tr w:rsidR="004743E2" w:rsidRPr="00E36734" w14:paraId="713B6D07" w14:textId="77777777" w:rsidTr="00F37328">
        <w:trPr>
          <w:trHeight w:val="458"/>
        </w:trPr>
        <w:tc>
          <w:tcPr>
            <w:tcW w:w="1346" w:type="pct"/>
            <w:shd w:val="clear" w:color="auto" w:fill="auto"/>
            <w:tcMar>
              <w:top w:w="12" w:type="dxa"/>
              <w:left w:w="12" w:type="dxa"/>
              <w:bottom w:w="0" w:type="dxa"/>
              <w:right w:w="12" w:type="dxa"/>
            </w:tcMar>
            <w:vAlign w:val="center"/>
            <w:hideMark/>
          </w:tcPr>
          <w:p w14:paraId="7202488A" w14:textId="77777777" w:rsidR="004743E2" w:rsidRPr="00E36734" w:rsidRDefault="004743E2" w:rsidP="004743E2">
            <w:pPr>
              <w:spacing w:after="0" w:line="240" w:lineRule="auto"/>
              <w:textAlignment w:val="bottom"/>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eastAsia="el-GR"/>
              </w:rPr>
              <w:t>ΔΑ</w:t>
            </w:r>
          </w:p>
        </w:tc>
        <w:tc>
          <w:tcPr>
            <w:tcW w:w="1244" w:type="pct"/>
            <w:shd w:val="clear" w:color="auto" w:fill="auto"/>
            <w:tcMar>
              <w:top w:w="12" w:type="dxa"/>
              <w:left w:w="12" w:type="dxa"/>
              <w:bottom w:w="0" w:type="dxa"/>
              <w:right w:w="12" w:type="dxa"/>
            </w:tcMar>
            <w:vAlign w:val="center"/>
            <w:hideMark/>
          </w:tcPr>
          <w:p w14:paraId="5CA5BF55"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0</w:t>
            </w:r>
          </w:p>
        </w:tc>
        <w:tc>
          <w:tcPr>
            <w:tcW w:w="1176" w:type="pct"/>
            <w:shd w:val="clear" w:color="auto" w:fill="auto"/>
            <w:tcMar>
              <w:top w:w="12" w:type="dxa"/>
              <w:left w:w="12" w:type="dxa"/>
              <w:bottom w:w="0" w:type="dxa"/>
              <w:right w:w="12" w:type="dxa"/>
            </w:tcMar>
            <w:vAlign w:val="center"/>
            <w:hideMark/>
          </w:tcPr>
          <w:p w14:paraId="5DA9FA9E"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0.2</w:t>
            </w:r>
          </w:p>
        </w:tc>
        <w:tc>
          <w:tcPr>
            <w:tcW w:w="1234" w:type="pct"/>
            <w:shd w:val="clear" w:color="auto" w:fill="auto"/>
            <w:tcMar>
              <w:top w:w="12" w:type="dxa"/>
              <w:left w:w="12" w:type="dxa"/>
              <w:bottom w:w="0" w:type="dxa"/>
              <w:right w:w="12" w:type="dxa"/>
            </w:tcMar>
            <w:vAlign w:val="center"/>
            <w:hideMark/>
          </w:tcPr>
          <w:p w14:paraId="5D0057F6" w14:textId="77777777" w:rsidR="004743E2" w:rsidRPr="00E36734" w:rsidRDefault="004743E2" w:rsidP="004743E2">
            <w:pPr>
              <w:spacing w:after="0" w:line="240" w:lineRule="auto"/>
              <w:jc w:val="center"/>
              <w:textAlignment w:val="center"/>
              <w:rPr>
                <w:rFonts w:ascii="Arial" w:eastAsia="Times New Roman" w:hAnsi="Arial" w:cs="Arial"/>
                <w:sz w:val="16"/>
                <w:szCs w:val="16"/>
                <w:lang w:eastAsia="el-GR"/>
              </w:rPr>
            </w:pPr>
            <w:r w:rsidRPr="00E36734">
              <w:rPr>
                <w:rFonts w:ascii="Microsoft JhengHei UI" w:eastAsia="Microsoft JhengHei UI" w:hAnsi="Microsoft JhengHei UI" w:cs="Arial" w:hint="eastAsia"/>
                <w:color w:val="000000"/>
                <w:kern w:val="24"/>
                <w:sz w:val="16"/>
                <w:szCs w:val="16"/>
                <w:lang w:val="en-US" w:eastAsia="el-GR"/>
              </w:rPr>
              <w:t>0</w:t>
            </w:r>
          </w:p>
        </w:tc>
      </w:tr>
    </w:tbl>
    <w:p w14:paraId="6946585B" w14:textId="77777777" w:rsidR="00A9257F" w:rsidRPr="00E36734" w:rsidRDefault="00A9257F" w:rsidP="00761263">
      <w:pPr>
        <w:spacing w:after="0" w:line="360" w:lineRule="auto"/>
        <w:jc w:val="both"/>
        <w:rPr>
          <w:rFonts w:ascii="Times New Roman" w:hAnsi="Times New Roman" w:cs="Times New Roman"/>
          <w:b/>
          <w:sz w:val="24"/>
          <w:szCs w:val="24"/>
          <w:u w:val="single"/>
        </w:rPr>
      </w:pPr>
    </w:p>
    <w:p w14:paraId="720E3746" w14:textId="1D332B3A" w:rsidR="00A9257F" w:rsidRPr="00E36734" w:rsidRDefault="008345E5" w:rsidP="00761263">
      <w:pPr>
        <w:tabs>
          <w:tab w:val="left" w:pos="4530"/>
        </w:tabs>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Όσον αφορά τις επιχειρήσεις εστίασης</w:t>
      </w:r>
      <w:r w:rsidR="00B800A3"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9 στις 10 (91,2%) δήλωσαν πως η κατάσταση τους επιδεινώθηκε το Β εξάμηνο του 2020. Το στοιχείο αυτό δείχνει την ιδιαίτερα δυσμενή κατάσταση στην οποία έχει βρεθεί ο κλάδος λόγω του παρατεταμένου διαστήματος που το μεγαλύτερο μέρος του βρίσκεται </w:t>
      </w:r>
      <w:r w:rsidR="00E47175" w:rsidRPr="00E36734">
        <w:rPr>
          <w:rFonts w:ascii="Times New Roman" w:eastAsia="Times New Roman" w:hAnsi="Times New Roman" w:cs="Times New Roman"/>
          <w:sz w:val="24"/>
          <w:szCs w:val="24"/>
          <w:lang w:eastAsia="el-GR"/>
        </w:rPr>
        <w:t>υπό το καθεστώς</w:t>
      </w:r>
      <w:r w:rsidRPr="00E36734">
        <w:rPr>
          <w:rFonts w:ascii="Times New Roman" w:eastAsia="Times New Roman" w:hAnsi="Times New Roman" w:cs="Times New Roman"/>
          <w:sz w:val="24"/>
          <w:szCs w:val="24"/>
          <w:lang w:eastAsia="el-GR"/>
        </w:rPr>
        <w:t xml:space="preserve"> αναστολή</w:t>
      </w:r>
      <w:r w:rsidR="00E47175" w:rsidRPr="00E36734">
        <w:rPr>
          <w:rFonts w:ascii="Times New Roman" w:eastAsia="Times New Roman" w:hAnsi="Times New Roman" w:cs="Times New Roman"/>
          <w:sz w:val="24"/>
          <w:szCs w:val="24"/>
          <w:lang w:eastAsia="el-GR"/>
        </w:rPr>
        <w:t>ς</w:t>
      </w:r>
      <w:r w:rsidRPr="00E36734">
        <w:rPr>
          <w:rFonts w:ascii="Times New Roman" w:eastAsia="Times New Roman" w:hAnsi="Times New Roman" w:cs="Times New Roman"/>
          <w:sz w:val="24"/>
          <w:szCs w:val="24"/>
          <w:lang w:eastAsia="el-GR"/>
        </w:rPr>
        <w:t xml:space="preserve"> λειτουργίας. </w:t>
      </w:r>
    </w:p>
    <w:p w14:paraId="266B7BC8" w14:textId="77777777" w:rsidR="00A9257F" w:rsidRPr="00E36734" w:rsidRDefault="00A9257F" w:rsidP="00761263">
      <w:pPr>
        <w:tabs>
          <w:tab w:val="left" w:pos="4530"/>
        </w:tabs>
        <w:spacing w:after="0" w:line="360" w:lineRule="auto"/>
        <w:jc w:val="both"/>
        <w:rPr>
          <w:rFonts w:ascii="Times New Roman" w:eastAsia="Times New Roman" w:hAnsi="Times New Roman" w:cs="Times New Roman"/>
          <w:b/>
          <w:bCs/>
          <w:sz w:val="24"/>
          <w:szCs w:val="24"/>
          <w:lang w:eastAsia="el-GR"/>
        </w:rPr>
      </w:pPr>
    </w:p>
    <w:p w14:paraId="7C4D3975" w14:textId="77777777" w:rsidR="00A9257F" w:rsidRPr="00E36734" w:rsidRDefault="00A9257F" w:rsidP="00761263">
      <w:pPr>
        <w:spacing w:after="0" w:line="360" w:lineRule="auto"/>
        <w:jc w:val="both"/>
        <w:rPr>
          <w:rFonts w:ascii="Times New Roman" w:hAnsi="Times New Roman" w:cs="Times New Roman"/>
          <w:b/>
          <w:sz w:val="24"/>
          <w:szCs w:val="24"/>
          <w:u w:val="single"/>
        </w:rPr>
      </w:pPr>
      <w:r w:rsidRPr="00E36734">
        <w:rPr>
          <w:rFonts w:ascii="Times New Roman" w:hAnsi="Times New Roman" w:cs="Times New Roman"/>
          <w:b/>
          <w:sz w:val="24"/>
          <w:szCs w:val="24"/>
          <w:u w:val="single"/>
        </w:rPr>
        <w:t>Κύκλος εργασιών</w:t>
      </w:r>
    </w:p>
    <w:p w14:paraId="68A02A4A" w14:textId="4B8AFAA4" w:rsidR="00785AB0" w:rsidRPr="00E36734" w:rsidRDefault="00A9257F"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Ο δείκτης κύκλου εργασιών των </w:t>
      </w:r>
      <w:r w:rsidR="008345E5" w:rsidRPr="00E36734">
        <w:rPr>
          <w:rFonts w:ascii="Times New Roman" w:hAnsi="Times New Roman" w:cs="Times New Roman"/>
          <w:sz w:val="24"/>
          <w:szCs w:val="24"/>
        </w:rPr>
        <w:t xml:space="preserve">μικρών και </w:t>
      </w:r>
      <w:r w:rsidRPr="00E36734">
        <w:rPr>
          <w:rFonts w:ascii="Times New Roman" w:hAnsi="Times New Roman" w:cs="Times New Roman"/>
          <w:sz w:val="24"/>
          <w:szCs w:val="24"/>
        </w:rPr>
        <w:t xml:space="preserve">πολύ μικρών </w:t>
      </w:r>
      <w:r w:rsidR="004568FB" w:rsidRPr="00E36734">
        <w:rPr>
          <w:rFonts w:ascii="Times New Roman" w:hAnsi="Times New Roman" w:cs="Times New Roman"/>
          <w:sz w:val="24"/>
          <w:szCs w:val="24"/>
        </w:rPr>
        <w:t>επιχειρήσεων μετά την καθίζηση που κατέγραψε το Α εξάμηνο του 2020 (17,2 μονάδες), το Β εξάμηνο του έτους διαμορφώνεται στις 28,4</w:t>
      </w:r>
      <w:r w:rsidR="0091560F" w:rsidRPr="00E36734">
        <w:rPr>
          <w:rFonts w:ascii="Times New Roman" w:hAnsi="Times New Roman" w:cs="Times New Roman"/>
          <w:sz w:val="24"/>
          <w:szCs w:val="24"/>
        </w:rPr>
        <w:t xml:space="preserve"> μονάδες</w:t>
      </w:r>
      <w:r w:rsidRPr="00E36734">
        <w:rPr>
          <w:rFonts w:ascii="Times New Roman" w:hAnsi="Times New Roman" w:cs="Times New Roman"/>
          <w:sz w:val="24"/>
          <w:szCs w:val="24"/>
        </w:rPr>
        <w:t xml:space="preserve">. </w:t>
      </w:r>
      <w:r w:rsidR="004568FB" w:rsidRPr="00E36734">
        <w:rPr>
          <w:rFonts w:ascii="Times New Roman" w:hAnsi="Times New Roman" w:cs="Times New Roman"/>
          <w:sz w:val="24"/>
          <w:szCs w:val="24"/>
        </w:rPr>
        <w:t xml:space="preserve"> Παρουσιάζει δηλαδή μια αύξηση κατά 11 περίπου μονάδες σε σύγκριση με το προηγούμενο εξάμηνο κάτι που αποτυπώθηκε και στα στοιχεία της ΕΛΣΤΑΤ </w:t>
      </w:r>
      <w:r w:rsidR="00785AB0" w:rsidRPr="00E36734">
        <w:rPr>
          <w:rFonts w:ascii="Times New Roman" w:hAnsi="Times New Roman" w:cs="Times New Roman"/>
          <w:sz w:val="24"/>
          <w:szCs w:val="24"/>
        </w:rPr>
        <w:t xml:space="preserve">για τον κύκλο εργασιών </w:t>
      </w:r>
      <w:r w:rsidR="006F0247" w:rsidRPr="00E36734">
        <w:rPr>
          <w:rFonts w:ascii="Times New Roman" w:hAnsi="Times New Roman" w:cs="Times New Roman"/>
          <w:sz w:val="24"/>
          <w:szCs w:val="24"/>
        </w:rPr>
        <w:t xml:space="preserve">στο σύνολο </w:t>
      </w:r>
      <w:r w:rsidR="00785AB0" w:rsidRPr="00E36734">
        <w:rPr>
          <w:rFonts w:ascii="Times New Roman" w:hAnsi="Times New Roman" w:cs="Times New Roman"/>
          <w:sz w:val="24"/>
          <w:szCs w:val="24"/>
        </w:rPr>
        <w:t xml:space="preserve">των επιχειρήσεων όπου το Α εξάμηνο του 2020 </w:t>
      </w:r>
      <w:r w:rsidR="006F0247" w:rsidRPr="00E36734">
        <w:rPr>
          <w:rFonts w:ascii="Times New Roman" w:hAnsi="Times New Roman" w:cs="Times New Roman"/>
          <w:sz w:val="24"/>
          <w:szCs w:val="24"/>
        </w:rPr>
        <w:t>καταγράφηκε μεγαλύτερη μείωση</w:t>
      </w:r>
      <w:r w:rsidR="00785AB0" w:rsidRPr="00E36734">
        <w:rPr>
          <w:rFonts w:ascii="Times New Roman" w:hAnsi="Times New Roman" w:cs="Times New Roman"/>
          <w:sz w:val="24"/>
          <w:szCs w:val="24"/>
        </w:rPr>
        <w:t xml:space="preserve"> σε σύγκριση με το Β εξάμηνο του έτους. </w:t>
      </w:r>
    </w:p>
    <w:p w14:paraId="34873340" w14:textId="69417D6E" w:rsidR="00515537" w:rsidRPr="00E36734" w:rsidRDefault="0091560F"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Ωστόσο η βελτίωση που καταγράφεται δεν μπορεί να θεωρηθεί ως σημάδι ανάκαμψης </w:t>
      </w:r>
      <w:r w:rsidR="00DB4D1C" w:rsidRPr="00E36734">
        <w:rPr>
          <w:rFonts w:ascii="Times New Roman" w:hAnsi="Times New Roman" w:cs="Times New Roman"/>
          <w:sz w:val="24"/>
          <w:szCs w:val="24"/>
        </w:rPr>
        <w:t>κυρίως γιατί</w:t>
      </w:r>
      <w:r w:rsidR="00515537" w:rsidRPr="00E36734">
        <w:rPr>
          <w:rFonts w:ascii="Times New Roman" w:hAnsi="Times New Roman" w:cs="Times New Roman"/>
          <w:sz w:val="24"/>
          <w:szCs w:val="24"/>
        </w:rPr>
        <w:t xml:space="preserve"> το ποσοστό των επιχειρήσεων που </w:t>
      </w:r>
      <w:r w:rsidR="00DB4D1C" w:rsidRPr="00E36734">
        <w:rPr>
          <w:rFonts w:ascii="Times New Roman" w:hAnsi="Times New Roman" w:cs="Times New Roman"/>
          <w:sz w:val="24"/>
          <w:szCs w:val="24"/>
        </w:rPr>
        <w:t>συνεχίζουν να καταγράφουν απώλειες παραμένει</w:t>
      </w:r>
      <w:r w:rsidR="00515537" w:rsidRPr="00E36734">
        <w:rPr>
          <w:rFonts w:ascii="Times New Roman" w:hAnsi="Times New Roman" w:cs="Times New Roman"/>
          <w:sz w:val="24"/>
          <w:szCs w:val="24"/>
        </w:rPr>
        <w:t xml:space="preserve"> συντριπτικό. </w:t>
      </w:r>
      <w:r w:rsidRPr="00E36734">
        <w:rPr>
          <w:rFonts w:ascii="Times New Roman" w:hAnsi="Times New Roman" w:cs="Times New Roman"/>
          <w:sz w:val="24"/>
          <w:szCs w:val="24"/>
        </w:rPr>
        <w:t xml:space="preserve"> </w:t>
      </w:r>
    </w:p>
    <w:p w14:paraId="1E09B2D1" w14:textId="4F0E0426" w:rsidR="00A9257F" w:rsidRPr="00E36734" w:rsidRDefault="00515537" w:rsidP="00906C6F">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lastRenderedPageBreak/>
        <w:t xml:space="preserve">Συγκεκριμένα </w:t>
      </w:r>
      <w:bookmarkStart w:id="5" w:name="_Hlk68074605"/>
      <w:r w:rsidRPr="00E36734">
        <w:rPr>
          <w:rFonts w:ascii="Times New Roman" w:hAnsi="Times New Roman" w:cs="Times New Roman"/>
          <w:sz w:val="24"/>
          <w:szCs w:val="24"/>
        </w:rPr>
        <w:t>7 στις 10 επιχειρήσεις (70,7%) δήλωσαν πως το Β εξάμηνο του 2020 μειώθηκε ο τζίρος έναντι μόλις του 11,1% που δήλωσε πως αυξήθηκε και του 16,9% που δήλωσε πως παρέμεινε αμετάβλητος</w:t>
      </w:r>
      <w:bookmarkEnd w:id="5"/>
      <w:r w:rsidR="00906C6F" w:rsidRPr="00E36734">
        <w:rPr>
          <w:rFonts w:ascii="Times New Roman" w:hAnsi="Times New Roman" w:cs="Times New Roman"/>
          <w:sz w:val="24"/>
          <w:szCs w:val="24"/>
        </w:rPr>
        <w:t xml:space="preserve"> (Γράφημα 4).</w:t>
      </w:r>
      <w:r w:rsidR="00A9257F" w:rsidRPr="00E36734">
        <w:rPr>
          <w:rFonts w:ascii="Times New Roman" w:hAnsi="Times New Roman" w:cs="Times New Roman"/>
          <w:sz w:val="24"/>
          <w:szCs w:val="24"/>
        </w:rPr>
        <w:t xml:space="preserve"> </w:t>
      </w:r>
    </w:p>
    <w:p w14:paraId="751DBD69" w14:textId="77777777" w:rsidR="00A9257F" w:rsidRPr="00E36734" w:rsidRDefault="00A9257F" w:rsidP="00761263">
      <w:pPr>
        <w:spacing w:after="0" w:line="360" w:lineRule="auto"/>
        <w:jc w:val="both"/>
        <w:rPr>
          <w:rFonts w:ascii="Times New Roman" w:hAnsi="Times New Roman" w:cs="Times New Roman"/>
          <w:sz w:val="24"/>
          <w:szCs w:val="24"/>
        </w:rPr>
      </w:pPr>
    </w:p>
    <w:p w14:paraId="24E68993" w14:textId="60099A94" w:rsidR="00F37328" w:rsidRPr="00E36734" w:rsidRDefault="00F37328" w:rsidP="00ED02ED">
      <w:pPr>
        <w:spacing w:after="0" w:line="360" w:lineRule="auto"/>
        <w:jc w:val="center"/>
        <w:rPr>
          <w:rFonts w:ascii="Times New Roman" w:hAnsi="Times New Roman" w:cs="Times New Roman"/>
          <w:noProof/>
          <w:sz w:val="24"/>
          <w:szCs w:val="24"/>
          <w:lang w:eastAsia="el-GR"/>
        </w:rPr>
      </w:pPr>
      <w:r w:rsidRPr="00E36734">
        <w:rPr>
          <w:rFonts w:ascii="Times New Roman" w:hAnsi="Times New Roman" w:cs="Times New Roman"/>
          <w:noProof/>
          <w:sz w:val="24"/>
          <w:szCs w:val="24"/>
          <w:bdr w:val="single" w:sz="4" w:space="0" w:color="auto"/>
          <w:lang w:eastAsia="el-GR"/>
        </w:rPr>
        <w:drawing>
          <wp:inline distT="0" distB="0" distL="0" distR="0" wp14:anchorId="18530730" wp14:editId="65071B96">
            <wp:extent cx="6385560" cy="4053840"/>
            <wp:effectExtent l="0" t="0" r="0" b="3810"/>
            <wp:docPr id="25" name="Γράφημα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C0285" w14:textId="0F799198" w:rsidR="00515537" w:rsidRPr="00E36734" w:rsidRDefault="00515537" w:rsidP="00761263">
      <w:pPr>
        <w:spacing w:after="0" w:line="360" w:lineRule="auto"/>
        <w:jc w:val="both"/>
        <w:rPr>
          <w:rFonts w:ascii="Times New Roman" w:hAnsi="Times New Roman" w:cs="Times New Roman"/>
          <w:noProof/>
          <w:sz w:val="24"/>
          <w:szCs w:val="24"/>
          <w:lang w:eastAsia="el-GR"/>
        </w:rPr>
      </w:pPr>
    </w:p>
    <w:p w14:paraId="45D32FA3" w14:textId="750E227D" w:rsidR="00515537" w:rsidRPr="00E36734" w:rsidRDefault="00515537" w:rsidP="00761263">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Στα επιμέρους στοιχεία οι χειρότερες επιδόσεις καταγράφονται στον κλάδο των υπηρεσιών (72%), στις μεγαλ</w:t>
      </w:r>
      <w:r w:rsidR="00295BAA" w:rsidRPr="00E36734">
        <w:rPr>
          <w:rFonts w:ascii="Times New Roman" w:hAnsi="Times New Roman" w:cs="Times New Roman"/>
          <w:noProof/>
          <w:sz w:val="24"/>
          <w:szCs w:val="24"/>
          <w:lang w:eastAsia="el-GR"/>
        </w:rPr>
        <w:t>ύ</w:t>
      </w:r>
      <w:r w:rsidRPr="00E36734">
        <w:rPr>
          <w:rFonts w:ascii="Times New Roman" w:hAnsi="Times New Roman" w:cs="Times New Roman"/>
          <w:noProof/>
          <w:sz w:val="24"/>
          <w:szCs w:val="24"/>
          <w:lang w:eastAsia="el-GR"/>
        </w:rPr>
        <w:t>τερες σε ηλ</w:t>
      </w:r>
      <w:r w:rsidR="00295BAA" w:rsidRPr="00E36734">
        <w:rPr>
          <w:rFonts w:ascii="Times New Roman" w:hAnsi="Times New Roman" w:cs="Times New Roman"/>
          <w:noProof/>
          <w:sz w:val="24"/>
          <w:szCs w:val="24"/>
          <w:lang w:eastAsia="el-GR"/>
        </w:rPr>
        <w:t>ι</w:t>
      </w:r>
      <w:r w:rsidRPr="00E36734">
        <w:rPr>
          <w:rFonts w:ascii="Times New Roman" w:hAnsi="Times New Roman" w:cs="Times New Roman"/>
          <w:noProof/>
          <w:sz w:val="24"/>
          <w:szCs w:val="24"/>
          <w:lang w:eastAsia="el-GR"/>
        </w:rPr>
        <w:t>κ</w:t>
      </w:r>
      <w:r w:rsidR="00295BAA" w:rsidRPr="00E36734">
        <w:rPr>
          <w:rFonts w:ascii="Times New Roman" w:hAnsi="Times New Roman" w:cs="Times New Roman"/>
          <w:noProof/>
          <w:sz w:val="24"/>
          <w:szCs w:val="24"/>
          <w:lang w:eastAsia="el-GR"/>
        </w:rPr>
        <w:t>ί</w:t>
      </w:r>
      <w:r w:rsidRPr="00E36734">
        <w:rPr>
          <w:rFonts w:ascii="Times New Roman" w:hAnsi="Times New Roman" w:cs="Times New Roman"/>
          <w:noProof/>
          <w:sz w:val="24"/>
          <w:szCs w:val="24"/>
          <w:lang w:eastAsia="el-GR"/>
        </w:rPr>
        <w:t>α επιχειρήσεις (72,1%), στις επιχειρ</w:t>
      </w:r>
      <w:r w:rsidR="00295BAA" w:rsidRPr="00E36734">
        <w:rPr>
          <w:rFonts w:ascii="Times New Roman" w:hAnsi="Times New Roman" w:cs="Times New Roman"/>
          <w:noProof/>
          <w:sz w:val="24"/>
          <w:szCs w:val="24"/>
          <w:lang w:eastAsia="el-GR"/>
        </w:rPr>
        <w:t>ή</w:t>
      </w:r>
      <w:r w:rsidRPr="00E36734">
        <w:rPr>
          <w:rFonts w:ascii="Times New Roman" w:hAnsi="Times New Roman" w:cs="Times New Roman"/>
          <w:noProof/>
          <w:sz w:val="24"/>
          <w:szCs w:val="24"/>
          <w:lang w:eastAsia="el-GR"/>
        </w:rPr>
        <w:t>σε</w:t>
      </w:r>
      <w:r w:rsidR="00295BAA" w:rsidRPr="00E36734">
        <w:rPr>
          <w:rFonts w:ascii="Times New Roman" w:hAnsi="Times New Roman" w:cs="Times New Roman"/>
          <w:noProof/>
          <w:sz w:val="24"/>
          <w:szCs w:val="24"/>
          <w:lang w:eastAsia="el-GR"/>
        </w:rPr>
        <w:t>ι</w:t>
      </w:r>
      <w:r w:rsidRPr="00E36734">
        <w:rPr>
          <w:rFonts w:ascii="Times New Roman" w:hAnsi="Times New Roman" w:cs="Times New Roman"/>
          <w:noProof/>
          <w:sz w:val="24"/>
          <w:szCs w:val="24"/>
          <w:lang w:eastAsia="el-GR"/>
        </w:rPr>
        <w:t xml:space="preserve">ς με τζίρο </w:t>
      </w:r>
      <w:r w:rsidR="00DB4D1C" w:rsidRPr="00E36734">
        <w:rPr>
          <w:rFonts w:ascii="Times New Roman" w:hAnsi="Times New Roman" w:cs="Times New Roman"/>
          <w:noProof/>
          <w:sz w:val="24"/>
          <w:szCs w:val="24"/>
          <w:lang w:eastAsia="el-GR"/>
        </w:rPr>
        <w:t>κάτω από</w:t>
      </w:r>
      <w:r w:rsidRPr="00E36734">
        <w:rPr>
          <w:rFonts w:ascii="Times New Roman" w:hAnsi="Times New Roman" w:cs="Times New Roman"/>
          <w:noProof/>
          <w:sz w:val="24"/>
          <w:szCs w:val="24"/>
          <w:lang w:eastAsia="el-GR"/>
        </w:rPr>
        <w:t xml:space="preserve"> 50.000 € (77,7%)</w:t>
      </w:r>
      <w:r w:rsidR="00D95643" w:rsidRPr="00E36734">
        <w:rPr>
          <w:rFonts w:ascii="Times New Roman" w:hAnsi="Times New Roman" w:cs="Times New Roman"/>
          <w:noProof/>
          <w:sz w:val="24"/>
          <w:szCs w:val="24"/>
          <w:lang w:eastAsia="el-GR"/>
        </w:rPr>
        <w:t xml:space="preserve">, στις επιχειρήσεις χωρίς προσωπικό (75,6%) και στις επιχειρήσεις με 1 </w:t>
      </w:r>
      <w:r w:rsidR="00DB4D1C" w:rsidRPr="00E36734">
        <w:rPr>
          <w:rFonts w:ascii="Times New Roman" w:hAnsi="Times New Roman" w:cs="Times New Roman"/>
          <w:noProof/>
          <w:sz w:val="24"/>
          <w:szCs w:val="24"/>
          <w:lang w:eastAsia="el-GR"/>
        </w:rPr>
        <w:t>ά</w:t>
      </w:r>
      <w:r w:rsidR="00D95643" w:rsidRPr="00E36734">
        <w:rPr>
          <w:rFonts w:ascii="Times New Roman" w:hAnsi="Times New Roman" w:cs="Times New Roman"/>
          <w:noProof/>
          <w:sz w:val="24"/>
          <w:szCs w:val="24"/>
          <w:lang w:eastAsia="el-GR"/>
        </w:rPr>
        <w:t>τομο προσωπικό (76,5%).</w:t>
      </w:r>
    </w:p>
    <w:p w14:paraId="49A75B1D" w14:textId="339F3DDA" w:rsidR="00D95643" w:rsidRPr="00E36734" w:rsidRDefault="00D95643" w:rsidP="00761263">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 xml:space="preserve">Από την άλλη μεριά τις καλύτερες επιδόσεις παρουσιάζουν οι επιχειρήσεις με τζίρο πάνω από 300.000 € και οι επιχειρήσεις με πάνω από 5 </w:t>
      </w:r>
      <w:r w:rsidR="00295BAA"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 xml:space="preserve">τομα προσωπικό (Γράφημα </w:t>
      </w:r>
      <w:r w:rsidR="00DB4D1C" w:rsidRPr="00E36734">
        <w:rPr>
          <w:rFonts w:ascii="Times New Roman" w:hAnsi="Times New Roman" w:cs="Times New Roman"/>
          <w:noProof/>
          <w:sz w:val="24"/>
          <w:szCs w:val="24"/>
          <w:lang w:eastAsia="el-GR"/>
        </w:rPr>
        <w:t>5</w:t>
      </w:r>
      <w:r w:rsidRPr="00E36734">
        <w:rPr>
          <w:rFonts w:ascii="Times New Roman" w:hAnsi="Times New Roman" w:cs="Times New Roman"/>
          <w:noProof/>
          <w:sz w:val="24"/>
          <w:szCs w:val="24"/>
          <w:lang w:eastAsia="el-GR"/>
        </w:rPr>
        <w:t xml:space="preserve">) </w:t>
      </w:r>
    </w:p>
    <w:p w14:paraId="25DECA08" w14:textId="40F51991" w:rsidR="00D95643" w:rsidRPr="00E36734" w:rsidRDefault="00D95643" w:rsidP="00761263">
      <w:pPr>
        <w:spacing w:after="0" w:line="360" w:lineRule="auto"/>
        <w:jc w:val="both"/>
        <w:rPr>
          <w:rFonts w:ascii="Times New Roman" w:hAnsi="Times New Roman" w:cs="Times New Roman"/>
          <w:noProof/>
          <w:sz w:val="24"/>
          <w:szCs w:val="24"/>
          <w:lang w:eastAsia="el-GR"/>
        </w:rPr>
      </w:pPr>
      <w:bookmarkStart w:id="6" w:name="_Hlk68245775"/>
      <w:r w:rsidRPr="00E36734">
        <w:rPr>
          <w:rFonts w:ascii="Times New Roman" w:hAnsi="Times New Roman" w:cs="Times New Roman"/>
          <w:noProof/>
          <w:sz w:val="24"/>
          <w:szCs w:val="24"/>
          <w:lang w:eastAsia="el-GR"/>
        </w:rPr>
        <w:t>Ιδιαίτερα δυσμενή</w:t>
      </w:r>
      <w:r w:rsidR="00B800A3" w:rsidRPr="00E36734">
        <w:rPr>
          <w:rFonts w:ascii="Times New Roman" w:hAnsi="Times New Roman" w:cs="Times New Roman"/>
          <w:noProof/>
          <w:sz w:val="24"/>
          <w:szCs w:val="24"/>
          <w:lang w:eastAsia="el-GR"/>
        </w:rPr>
        <w:t>ς</w:t>
      </w:r>
      <w:r w:rsidRPr="00E36734">
        <w:rPr>
          <w:rFonts w:ascii="Times New Roman" w:hAnsi="Times New Roman" w:cs="Times New Roman"/>
          <w:noProof/>
          <w:sz w:val="24"/>
          <w:szCs w:val="24"/>
          <w:lang w:eastAsia="el-GR"/>
        </w:rPr>
        <w:t xml:space="preserve"> είναι κατ</w:t>
      </w:r>
      <w:r w:rsidR="00655A77"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σταση που καταγράφεται στις επιχειρήσεις που ανέστειλαν τη λειτουργία τους με κρατική εντολή</w:t>
      </w:r>
      <w:r w:rsidR="00B800A3" w:rsidRPr="00E36734">
        <w:rPr>
          <w:rFonts w:ascii="Times New Roman" w:hAnsi="Times New Roman" w:cs="Times New Roman"/>
          <w:noProof/>
          <w:sz w:val="24"/>
          <w:szCs w:val="24"/>
          <w:lang w:eastAsia="el-GR"/>
        </w:rPr>
        <w:t>,</w:t>
      </w:r>
      <w:r w:rsidRPr="00E36734">
        <w:rPr>
          <w:rFonts w:ascii="Times New Roman" w:hAnsi="Times New Roman" w:cs="Times New Roman"/>
          <w:noProof/>
          <w:sz w:val="24"/>
          <w:szCs w:val="24"/>
          <w:lang w:eastAsia="el-GR"/>
        </w:rPr>
        <w:t xml:space="preserve"> καθώς 8 στις 10 επιχειρήσεις δήλωσαν πως το Β εξ</w:t>
      </w:r>
      <w:r w:rsidR="00655A77"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μηνο του 2020 μειώθηκε ο τζ</w:t>
      </w:r>
      <w:r w:rsidR="00655A77" w:rsidRPr="00E36734">
        <w:rPr>
          <w:rFonts w:ascii="Times New Roman" w:hAnsi="Times New Roman" w:cs="Times New Roman"/>
          <w:noProof/>
          <w:sz w:val="24"/>
          <w:szCs w:val="24"/>
          <w:lang w:eastAsia="el-GR"/>
        </w:rPr>
        <w:t>ί</w:t>
      </w:r>
      <w:r w:rsidRPr="00E36734">
        <w:rPr>
          <w:rFonts w:ascii="Times New Roman" w:hAnsi="Times New Roman" w:cs="Times New Roman"/>
          <w:noProof/>
          <w:sz w:val="24"/>
          <w:szCs w:val="24"/>
          <w:lang w:eastAsia="el-GR"/>
        </w:rPr>
        <w:t>ρ</w:t>
      </w:r>
      <w:r w:rsidR="00655A77" w:rsidRPr="00E36734">
        <w:rPr>
          <w:rFonts w:ascii="Times New Roman" w:hAnsi="Times New Roman" w:cs="Times New Roman"/>
          <w:noProof/>
          <w:sz w:val="24"/>
          <w:szCs w:val="24"/>
          <w:lang w:eastAsia="el-GR"/>
        </w:rPr>
        <w:t>ο</w:t>
      </w:r>
      <w:r w:rsidRPr="00E36734">
        <w:rPr>
          <w:rFonts w:ascii="Times New Roman" w:hAnsi="Times New Roman" w:cs="Times New Roman"/>
          <w:noProof/>
          <w:sz w:val="24"/>
          <w:szCs w:val="24"/>
          <w:lang w:eastAsia="el-GR"/>
        </w:rPr>
        <w:t>ς</w:t>
      </w:r>
      <w:r w:rsidR="001F3396" w:rsidRPr="00E36734">
        <w:rPr>
          <w:rFonts w:ascii="Times New Roman" w:hAnsi="Times New Roman" w:cs="Times New Roman"/>
          <w:noProof/>
          <w:sz w:val="24"/>
          <w:szCs w:val="24"/>
          <w:lang w:eastAsia="el-GR"/>
        </w:rPr>
        <w:t xml:space="preserve"> τους</w:t>
      </w:r>
      <w:r w:rsidRPr="00E36734">
        <w:rPr>
          <w:rFonts w:ascii="Times New Roman" w:hAnsi="Times New Roman" w:cs="Times New Roman"/>
          <w:noProof/>
          <w:sz w:val="24"/>
          <w:szCs w:val="24"/>
          <w:lang w:eastAsia="el-GR"/>
        </w:rPr>
        <w:t>, ενώ αντ</w:t>
      </w:r>
      <w:r w:rsidR="00655A77" w:rsidRPr="00E36734">
        <w:rPr>
          <w:rFonts w:ascii="Times New Roman" w:hAnsi="Times New Roman" w:cs="Times New Roman"/>
          <w:noProof/>
          <w:sz w:val="24"/>
          <w:szCs w:val="24"/>
          <w:lang w:eastAsia="el-GR"/>
        </w:rPr>
        <w:t>ί</w:t>
      </w:r>
      <w:r w:rsidRPr="00E36734">
        <w:rPr>
          <w:rFonts w:ascii="Times New Roman" w:hAnsi="Times New Roman" w:cs="Times New Roman"/>
          <w:noProof/>
          <w:sz w:val="24"/>
          <w:szCs w:val="24"/>
          <w:lang w:eastAsia="el-GR"/>
        </w:rPr>
        <w:t>στοιχα είναι και τα στοιχεία των πληττόμενων β</w:t>
      </w:r>
      <w:r w:rsidR="00295BAA"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σει ΚΑΔ επιχειρήσεων όπου το 74,4% δήλωσε πως κατ</w:t>
      </w:r>
      <w:r w:rsidR="00655A77" w:rsidRPr="00E36734">
        <w:rPr>
          <w:rFonts w:ascii="Times New Roman" w:hAnsi="Times New Roman" w:cs="Times New Roman"/>
          <w:noProof/>
          <w:sz w:val="24"/>
          <w:szCs w:val="24"/>
          <w:lang w:eastAsia="el-GR"/>
        </w:rPr>
        <w:t>έ</w:t>
      </w:r>
      <w:r w:rsidRPr="00E36734">
        <w:rPr>
          <w:rFonts w:ascii="Times New Roman" w:hAnsi="Times New Roman" w:cs="Times New Roman"/>
          <w:noProof/>
          <w:sz w:val="24"/>
          <w:szCs w:val="24"/>
          <w:lang w:eastAsia="el-GR"/>
        </w:rPr>
        <w:t>γραψε με</w:t>
      </w:r>
      <w:r w:rsidR="00655A77" w:rsidRPr="00E36734">
        <w:rPr>
          <w:rFonts w:ascii="Times New Roman" w:hAnsi="Times New Roman" w:cs="Times New Roman"/>
          <w:noProof/>
          <w:sz w:val="24"/>
          <w:szCs w:val="24"/>
          <w:lang w:eastAsia="el-GR"/>
        </w:rPr>
        <w:t>ί</w:t>
      </w:r>
      <w:r w:rsidRPr="00E36734">
        <w:rPr>
          <w:rFonts w:ascii="Times New Roman" w:hAnsi="Times New Roman" w:cs="Times New Roman"/>
          <w:noProof/>
          <w:sz w:val="24"/>
          <w:szCs w:val="24"/>
          <w:lang w:eastAsia="el-GR"/>
        </w:rPr>
        <w:t>ωση του τζίρου το Β εξάμηνο του 2020</w:t>
      </w:r>
      <w:bookmarkEnd w:id="6"/>
      <w:r w:rsidRPr="00E36734">
        <w:rPr>
          <w:rFonts w:ascii="Times New Roman" w:hAnsi="Times New Roman" w:cs="Times New Roman"/>
          <w:noProof/>
          <w:sz w:val="24"/>
          <w:szCs w:val="24"/>
          <w:lang w:eastAsia="el-GR"/>
        </w:rPr>
        <w:t>.</w:t>
      </w:r>
    </w:p>
    <w:p w14:paraId="79348C6C" w14:textId="77777777" w:rsidR="00DB4D1C" w:rsidRPr="00E36734" w:rsidRDefault="00DB4D1C" w:rsidP="00DB4D1C">
      <w:pPr>
        <w:spacing w:after="0" w:line="360" w:lineRule="auto"/>
        <w:jc w:val="center"/>
        <w:rPr>
          <w:rFonts w:ascii="Times New Roman" w:hAnsi="Times New Roman" w:cs="Times New Roman"/>
          <w:b/>
          <w:bCs/>
          <w:noProof/>
          <w:sz w:val="24"/>
          <w:szCs w:val="24"/>
          <w:lang w:eastAsia="el-GR"/>
        </w:rPr>
      </w:pPr>
    </w:p>
    <w:p w14:paraId="3443EE5E" w14:textId="77777777" w:rsidR="00DB4D1C" w:rsidRPr="00E36734" w:rsidRDefault="00DB4D1C" w:rsidP="00DB4D1C">
      <w:pPr>
        <w:spacing w:after="0" w:line="360" w:lineRule="auto"/>
        <w:jc w:val="center"/>
        <w:rPr>
          <w:rFonts w:ascii="Times New Roman" w:hAnsi="Times New Roman" w:cs="Times New Roman"/>
          <w:b/>
          <w:bCs/>
          <w:noProof/>
          <w:sz w:val="24"/>
          <w:szCs w:val="24"/>
          <w:lang w:eastAsia="el-GR"/>
        </w:rPr>
      </w:pPr>
    </w:p>
    <w:p w14:paraId="5D9791B4" w14:textId="77777777" w:rsidR="00CC546C" w:rsidRPr="00E36734" w:rsidRDefault="00CC546C" w:rsidP="00A9799A">
      <w:pPr>
        <w:spacing w:after="0" w:line="360" w:lineRule="auto"/>
        <w:rPr>
          <w:rFonts w:ascii="Times New Roman" w:hAnsi="Times New Roman" w:cs="Times New Roman"/>
          <w:b/>
          <w:bCs/>
          <w:noProof/>
          <w:sz w:val="24"/>
          <w:szCs w:val="24"/>
          <w:lang w:eastAsia="el-GR"/>
        </w:rPr>
      </w:pPr>
    </w:p>
    <w:p w14:paraId="74E2C27F" w14:textId="77777777" w:rsidR="00CC546C" w:rsidRPr="00E36734" w:rsidRDefault="00CC546C" w:rsidP="00DB4D1C">
      <w:pPr>
        <w:spacing w:after="0" w:line="360" w:lineRule="auto"/>
        <w:jc w:val="center"/>
        <w:rPr>
          <w:rFonts w:ascii="Times New Roman" w:hAnsi="Times New Roman" w:cs="Times New Roman"/>
          <w:b/>
          <w:bCs/>
          <w:noProof/>
          <w:sz w:val="24"/>
          <w:szCs w:val="24"/>
          <w:lang w:eastAsia="el-GR"/>
        </w:rPr>
      </w:pPr>
    </w:p>
    <w:p w14:paraId="3603E78E" w14:textId="1ABD8D4F" w:rsidR="00DB4D1C" w:rsidRPr="00E36734" w:rsidRDefault="00DB4D1C" w:rsidP="00DB4D1C">
      <w:pPr>
        <w:spacing w:after="0" w:line="360" w:lineRule="auto"/>
        <w:jc w:val="center"/>
        <w:rPr>
          <w:rFonts w:ascii="Times New Roman" w:hAnsi="Times New Roman" w:cs="Times New Roman"/>
          <w:b/>
          <w:bCs/>
          <w:noProof/>
          <w:sz w:val="24"/>
          <w:szCs w:val="24"/>
          <w:lang w:eastAsia="el-GR"/>
        </w:rPr>
      </w:pPr>
      <w:r w:rsidRPr="00E36734">
        <w:rPr>
          <w:rFonts w:ascii="Times New Roman" w:hAnsi="Times New Roman" w:cs="Times New Roman"/>
          <w:b/>
          <w:bCs/>
          <w:noProof/>
          <w:sz w:val="24"/>
          <w:szCs w:val="24"/>
          <w:lang w:eastAsia="el-GR"/>
        </w:rPr>
        <w:lastRenderedPageBreak/>
        <w:t>Γράφημα 5</w:t>
      </w:r>
    </w:p>
    <w:p w14:paraId="4DE2FA0B" w14:textId="440CB18B" w:rsidR="00515537" w:rsidRPr="00E36734" w:rsidRDefault="00DB4D1C" w:rsidP="00DB4D1C">
      <w:pPr>
        <w:spacing w:after="0" w:line="360" w:lineRule="auto"/>
        <w:jc w:val="center"/>
        <w:rPr>
          <w:rFonts w:ascii="Times New Roman" w:hAnsi="Times New Roman" w:cs="Times New Roman"/>
          <w:b/>
          <w:bCs/>
          <w:noProof/>
          <w:sz w:val="24"/>
          <w:szCs w:val="24"/>
          <w:lang w:eastAsia="el-GR"/>
        </w:rPr>
      </w:pPr>
      <w:r w:rsidRPr="00E36734">
        <w:rPr>
          <w:rFonts w:ascii="Times New Roman" w:hAnsi="Times New Roman" w:cs="Times New Roman"/>
          <w:b/>
          <w:bCs/>
          <w:noProof/>
          <w:sz w:val="24"/>
          <w:szCs w:val="24"/>
          <w:lang w:eastAsia="el-GR"/>
        </w:rPr>
        <w:t xml:space="preserve">ΚΥΚΛΟΣ ΕΡΓΑΣΙΩΝ </w:t>
      </w:r>
      <w:r w:rsidRPr="00E36734">
        <w:rPr>
          <w:rFonts w:ascii="Times New Roman" w:hAnsi="Times New Roman" w:cs="Times New Roman"/>
          <w:b/>
          <w:bCs/>
          <w:noProof/>
          <w:sz w:val="24"/>
          <w:szCs w:val="24"/>
          <w:lang w:eastAsia="el-GR"/>
        </w:rPr>
        <w:br/>
        <w:t xml:space="preserve"> - Ανά κατηγορία -</w:t>
      </w:r>
    </w:p>
    <w:p w14:paraId="54898221" w14:textId="5982716A" w:rsidR="00515537" w:rsidRPr="00E36734" w:rsidRDefault="00515537" w:rsidP="00761263">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drawing>
          <wp:inline distT="0" distB="0" distL="0" distR="0" wp14:anchorId="6D92F55B" wp14:editId="29E97463">
            <wp:extent cx="6751320" cy="3547110"/>
            <wp:effectExtent l="0" t="0" r="11430" b="1524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45DD6D" w14:textId="1F4C8A59" w:rsidR="00D95643" w:rsidRPr="00E36734" w:rsidRDefault="00D95643" w:rsidP="00761263">
      <w:pPr>
        <w:spacing w:after="0" w:line="360" w:lineRule="auto"/>
        <w:jc w:val="both"/>
        <w:rPr>
          <w:rFonts w:ascii="Times New Roman" w:hAnsi="Times New Roman" w:cs="Times New Roman"/>
          <w:noProof/>
          <w:sz w:val="24"/>
          <w:szCs w:val="24"/>
          <w:lang w:eastAsia="el-GR"/>
        </w:rPr>
      </w:pPr>
    </w:p>
    <w:p w14:paraId="048758A5" w14:textId="56BA72D7" w:rsidR="00F37328" w:rsidRPr="00E36734" w:rsidRDefault="004D3693" w:rsidP="00761263">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Ό</w:t>
      </w:r>
      <w:r w:rsidR="001F3396" w:rsidRPr="00E36734">
        <w:rPr>
          <w:rFonts w:ascii="Times New Roman" w:hAnsi="Times New Roman" w:cs="Times New Roman"/>
          <w:noProof/>
          <w:sz w:val="24"/>
          <w:szCs w:val="24"/>
          <w:lang w:eastAsia="el-GR"/>
        </w:rPr>
        <w:t>σον αφορά τις ποσοστιαίες μεταβολές που έχουν επέλθει στον κύκλο εργασιών των επιχε</w:t>
      </w:r>
      <w:r w:rsidRPr="00E36734">
        <w:rPr>
          <w:rFonts w:ascii="Times New Roman" w:hAnsi="Times New Roman" w:cs="Times New Roman"/>
          <w:noProof/>
          <w:sz w:val="24"/>
          <w:szCs w:val="24"/>
          <w:lang w:eastAsia="el-GR"/>
        </w:rPr>
        <w:t>ι</w:t>
      </w:r>
      <w:r w:rsidR="001F3396" w:rsidRPr="00E36734">
        <w:rPr>
          <w:rFonts w:ascii="Times New Roman" w:hAnsi="Times New Roman" w:cs="Times New Roman"/>
          <w:noProof/>
          <w:sz w:val="24"/>
          <w:szCs w:val="24"/>
          <w:lang w:eastAsia="el-GR"/>
        </w:rPr>
        <w:t>ρήσεων</w:t>
      </w:r>
      <w:r w:rsidR="00B800A3" w:rsidRPr="00E36734">
        <w:rPr>
          <w:rFonts w:ascii="Times New Roman" w:hAnsi="Times New Roman" w:cs="Times New Roman"/>
          <w:noProof/>
          <w:sz w:val="24"/>
          <w:szCs w:val="24"/>
          <w:lang w:eastAsia="el-GR"/>
        </w:rPr>
        <w:t>,</w:t>
      </w:r>
      <w:r w:rsidR="001F3396" w:rsidRPr="00E36734">
        <w:rPr>
          <w:rFonts w:ascii="Times New Roman" w:hAnsi="Times New Roman" w:cs="Times New Roman"/>
          <w:noProof/>
          <w:sz w:val="24"/>
          <w:szCs w:val="24"/>
          <w:lang w:eastAsia="el-GR"/>
        </w:rPr>
        <w:t xml:space="preserve"> από τα στοιχεία της ερευνας προκύπτουν τα εξής:</w:t>
      </w:r>
    </w:p>
    <w:p w14:paraId="116B9BB2" w14:textId="73797E23" w:rsidR="001F3396" w:rsidRPr="00E36734" w:rsidRDefault="00DB4D1C" w:rsidP="001F3396">
      <w:pPr>
        <w:pStyle w:val="a5"/>
        <w:numPr>
          <w:ilvl w:val="0"/>
          <w:numId w:val="10"/>
        </w:num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Οι 7 στις 10 επιχειρήσεις το Β εξάμηνο του 2020 κατέγραψαν μεσοσταθμική με</w:t>
      </w:r>
      <w:r w:rsidR="004D3693" w:rsidRPr="00E36734">
        <w:rPr>
          <w:rFonts w:ascii="Times New Roman" w:hAnsi="Times New Roman" w:cs="Times New Roman"/>
          <w:noProof/>
          <w:sz w:val="24"/>
          <w:szCs w:val="24"/>
          <w:lang w:eastAsia="el-GR"/>
        </w:rPr>
        <w:t>ί</w:t>
      </w:r>
      <w:r w:rsidRPr="00E36734">
        <w:rPr>
          <w:rFonts w:ascii="Times New Roman" w:hAnsi="Times New Roman" w:cs="Times New Roman"/>
          <w:noProof/>
          <w:sz w:val="24"/>
          <w:szCs w:val="24"/>
          <w:lang w:eastAsia="el-GR"/>
        </w:rPr>
        <w:t xml:space="preserve">ωση του τζίρου τους 47,8%  (Γράφημα 5). </w:t>
      </w:r>
    </w:p>
    <w:p w14:paraId="286B784C" w14:textId="0534D420" w:rsidR="001F3396" w:rsidRPr="00E36734" w:rsidRDefault="001F3396" w:rsidP="001F3396">
      <w:pPr>
        <w:pStyle w:val="a5"/>
        <w:numPr>
          <w:ilvl w:val="0"/>
          <w:numId w:val="10"/>
        </w:num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 xml:space="preserve">Στον αντίποδα </w:t>
      </w:r>
      <w:r w:rsidR="00B800A3" w:rsidRPr="00E36734">
        <w:rPr>
          <w:rFonts w:ascii="Times New Roman" w:hAnsi="Times New Roman" w:cs="Times New Roman"/>
          <w:noProof/>
          <w:sz w:val="24"/>
          <w:szCs w:val="24"/>
          <w:lang w:eastAsia="el-GR"/>
        </w:rPr>
        <w:t>η</w:t>
      </w:r>
      <w:r w:rsidR="00DB4D1C" w:rsidRPr="00E36734">
        <w:rPr>
          <w:rFonts w:ascii="Times New Roman" w:hAnsi="Times New Roman" w:cs="Times New Roman"/>
          <w:noProof/>
          <w:sz w:val="24"/>
          <w:szCs w:val="24"/>
          <w:lang w:eastAsia="el-GR"/>
        </w:rPr>
        <w:t xml:space="preserve"> 1</w:t>
      </w:r>
      <w:r w:rsidR="00B800A3" w:rsidRPr="00E36734">
        <w:rPr>
          <w:rFonts w:ascii="Times New Roman" w:hAnsi="Times New Roman" w:cs="Times New Roman"/>
          <w:noProof/>
          <w:sz w:val="24"/>
          <w:szCs w:val="24"/>
          <w:lang w:eastAsia="el-GR"/>
        </w:rPr>
        <w:t xml:space="preserve"> </w:t>
      </w:r>
      <w:r w:rsidR="00DB4D1C" w:rsidRPr="00E36734">
        <w:rPr>
          <w:rFonts w:ascii="Times New Roman" w:hAnsi="Times New Roman" w:cs="Times New Roman"/>
          <w:noProof/>
          <w:sz w:val="24"/>
          <w:szCs w:val="24"/>
          <w:lang w:eastAsia="el-GR"/>
        </w:rPr>
        <w:t xml:space="preserve">στις 10 επιχειρήσεις (11,1%) κατέγραψε μεσοσταθμική </w:t>
      </w:r>
      <w:r w:rsidRPr="00E36734">
        <w:rPr>
          <w:rFonts w:ascii="Times New Roman" w:hAnsi="Times New Roman" w:cs="Times New Roman"/>
          <w:noProof/>
          <w:sz w:val="24"/>
          <w:szCs w:val="24"/>
          <w:lang w:eastAsia="el-GR"/>
        </w:rPr>
        <w:t>α</w:t>
      </w:r>
      <w:r w:rsidR="004D3693" w:rsidRPr="00E36734">
        <w:rPr>
          <w:rFonts w:ascii="Times New Roman" w:hAnsi="Times New Roman" w:cs="Times New Roman"/>
          <w:noProof/>
          <w:sz w:val="24"/>
          <w:szCs w:val="24"/>
          <w:lang w:eastAsia="el-GR"/>
        </w:rPr>
        <w:t>ύ</w:t>
      </w:r>
      <w:r w:rsidRPr="00E36734">
        <w:rPr>
          <w:rFonts w:ascii="Times New Roman" w:hAnsi="Times New Roman" w:cs="Times New Roman"/>
          <w:noProof/>
          <w:sz w:val="24"/>
          <w:szCs w:val="24"/>
          <w:lang w:eastAsia="el-GR"/>
        </w:rPr>
        <w:t>ξηση του τζίρου</w:t>
      </w:r>
      <w:r w:rsidR="00DB4D1C" w:rsidRPr="00E36734">
        <w:rPr>
          <w:rFonts w:ascii="Times New Roman" w:hAnsi="Times New Roman" w:cs="Times New Roman"/>
          <w:noProof/>
          <w:sz w:val="24"/>
          <w:szCs w:val="24"/>
          <w:lang w:eastAsia="el-GR"/>
        </w:rPr>
        <w:t xml:space="preserve"> του</w:t>
      </w:r>
      <w:r w:rsidRPr="00E36734">
        <w:rPr>
          <w:rFonts w:ascii="Times New Roman" w:hAnsi="Times New Roman" w:cs="Times New Roman"/>
          <w:noProof/>
          <w:sz w:val="24"/>
          <w:szCs w:val="24"/>
          <w:lang w:eastAsia="el-GR"/>
        </w:rPr>
        <w:t xml:space="preserve"> 21,2%.</w:t>
      </w:r>
    </w:p>
    <w:p w14:paraId="4F6EB391" w14:textId="7FDD7325" w:rsidR="001F3396" w:rsidRPr="00E36734" w:rsidRDefault="001F3396" w:rsidP="001F3396">
      <w:pPr>
        <w:pStyle w:val="a5"/>
        <w:numPr>
          <w:ilvl w:val="0"/>
          <w:numId w:val="10"/>
        </w:numPr>
        <w:spacing w:after="0" w:line="360" w:lineRule="auto"/>
        <w:jc w:val="both"/>
        <w:rPr>
          <w:rFonts w:ascii="Times New Roman" w:hAnsi="Times New Roman" w:cs="Times New Roman"/>
          <w:noProof/>
          <w:sz w:val="24"/>
          <w:szCs w:val="24"/>
          <w:lang w:eastAsia="el-GR"/>
        </w:rPr>
      </w:pPr>
      <w:bookmarkStart w:id="7" w:name="_Hlk68074662"/>
      <w:r w:rsidRPr="00E36734">
        <w:rPr>
          <w:rFonts w:ascii="Times New Roman" w:hAnsi="Times New Roman" w:cs="Times New Roman"/>
          <w:noProof/>
          <w:sz w:val="24"/>
          <w:szCs w:val="24"/>
          <w:lang w:eastAsia="el-GR"/>
        </w:rPr>
        <w:t>Στο σ</w:t>
      </w:r>
      <w:r w:rsidR="00DB4D1C" w:rsidRPr="00E36734">
        <w:rPr>
          <w:rFonts w:ascii="Times New Roman" w:hAnsi="Times New Roman" w:cs="Times New Roman"/>
          <w:noProof/>
          <w:sz w:val="24"/>
          <w:szCs w:val="24"/>
          <w:lang w:eastAsia="el-GR"/>
        </w:rPr>
        <w:t>ύ</w:t>
      </w:r>
      <w:r w:rsidRPr="00E36734">
        <w:rPr>
          <w:rFonts w:ascii="Times New Roman" w:hAnsi="Times New Roman" w:cs="Times New Roman"/>
          <w:noProof/>
          <w:sz w:val="24"/>
          <w:szCs w:val="24"/>
          <w:lang w:eastAsia="el-GR"/>
        </w:rPr>
        <w:t>νολο των επιχειρήσεων ο κ</w:t>
      </w:r>
      <w:r w:rsidR="00DB4D1C" w:rsidRPr="00E36734">
        <w:rPr>
          <w:rFonts w:ascii="Times New Roman" w:hAnsi="Times New Roman" w:cs="Times New Roman"/>
          <w:noProof/>
          <w:sz w:val="24"/>
          <w:szCs w:val="24"/>
          <w:lang w:eastAsia="el-GR"/>
        </w:rPr>
        <w:t>ύ</w:t>
      </w:r>
      <w:r w:rsidRPr="00E36734">
        <w:rPr>
          <w:rFonts w:ascii="Times New Roman" w:hAnsi="Times New Roman" w:cs="Times New Roman"/>
          <w:noProof/>
          <w:sz w:val="24"/>
          <w:szCs w:val="24"/>
          <w:lang w:eastAsia="el-GR"/>
        </w:rPr>
        <w:t xml:space="preserve">κλος εργασιών </w:t>
      </w:r>
      <w:r w:rsidR="00DB4D1C" w:rsidRPr="00E36734">
        <w:rPr>
          <w:rFonts w:ascii="Times New Roman" w:hAnsi="Times New Roman" w:cs="Times New Roman"/>
          <w:noProof/>
          <w:sz w:val="24"/>
          <w:szCs w:val="24"/>
          <w:lang w:eastAsia="el-GR"/>
        </w:rPr>
        <w:t>μειώθηκε μεσοσταθμικά</w:t>
      </w:r>
      <w:r w:rsidRPr="00E36734">
        <w:rPr>
          <w:rFonts w:ascii="Times New Roman" w:hAnsi="Times New Roman" w:cs="Times New Roman"/>
          <w:noProof/>
          <w:sz w:val="24"/>
          <w:szCs w:val="24"/>
          <w:lang w:eastAsia="el-GR"/>
        </w:rPr>
        <w:t xml:space="preserve"> κατά 32,4%</w:t>
      </w:r>
      <w:bookmarkEnd w:id="7"/>
      <w:r w:rsidRPr="00E36734">
        <w:rPr>
          <w:rFonts w:ascii="Times New Roman" w:hAnsi="Times New Roman" w:cs="Times New Roman"/>
          <w:noProof/>
          <w:sz w:val="24"/>
          <w:szCs w:val="24"/>
          <w:lang w:eastAsia="el-GR"/>
        </w:rPr>
        <w:t xml:space="preserve"> το Β εξάμηνο του 2020, έναντι 40,1% </w:t>
      </w:r>
      <w:r w:rsidR="001E56CB" w:rsidRPr="00E36734">
        <w:rPr>
          <w:rFonts w:ascii="Times New Roman" w:hAnsi="Times New Roman" w:cs="Times New Roman"/>
          <w:noProof/>
          <w:sz w:val="24"/>
          <w:szCs w:val="24"/>
          <w:lang w:eastAsia="el-GR"/>
        </w:rPr>
        <w:t xml:space="preserve">που είχε </w:t>
      </w:r>
      <w:r w:rsidR="00DB4D1C" w:rsidRPr="00E36734">
        <w:rPr>
          <w:rFonts w:ascii="Times New Roman" w:hAnsi="Times New Roman" w:cs="Times New Roman"/>
          <w:noProof/>
          <w:sz w:val="24"/>
          <w:szCs w:val="24"/>
          <w:lang w:eastAsia="el-GR"/>
        </w:rPr>
        <w:t>καταγραφεί</w:t>
      </w:r>
      <w:r w:rsidR="001E56CB" w:rsidRPr="00E36734">
        <w:rPr>
          <w:rFonts w:ascii="Times New Roman" w:hAnsi="Times New Roman" w:cs="Times New Roman"/>
          <w:noProof/>
          <w:sz w:val="24"/>
          <w:szCs w:val="24"/>
          <w:lang w:eastAsia="el-GR"/>
        </w:rPr>
        <w:t xml:space="preserve"> το Α εξάμηνο.</w:t>
      </w:r>
    </w:p>
    <w:p w14:paraId="1823B187" w14:textId="3A4C882F" w:rsidR="00C07136" w:rsidRPr="00E36734" w:rsidRDefault="00C07136" w:rsidP="00876EEE">
      <w:pPr>
        <w:spacing w:after="0" w:line="360" w:lineRule="auto"/>
        <w:jc w:val="both"/>
        <w:rPr>
          <w:rFonts w:ascii="Times New Roman" w:hAnsi="Times New Roman" w:cs="Times New Roman"/>
          <w:noProof/>
          <w:sz w:val="24"/>
          <w:szCs w:val="24"/>
          <w:lang w:eastAsia="el-GR"/>
        </w:rPr>
      </w:pPr>
    </w:p>
    <w:p w14:paraId="25114B44" w14:textId="23814187"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30BB9902" w14:textId="27E9A7B6"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49D3BD9E" w14:textId="5B1E41B2"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32CB27B3" w14:textId="36BED64B"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522FD409" w14:textId="0FE6407A"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0F444EAE" w14:textId="4A8B3231"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5911587E" w14:textId="77777777" w:rsidR="00CC546C" w:rsidRPr="00E36734" w:rsidRDefault="00CC546C" w:rsidP="00876EEE">
      <w:pPr>
        <w:spacing w:after="0" w:line="360" w:lineRule="auto"/>
        <w:jc w:val="both"/>
        <w:rPr>
          <w:rFonts w:ascii="Times New Roman" w:hAnsi="Times New Roman" w:cs="Times New Roman"/>
          <w:noProof/>
          <w:sz w:val="24"/>
          <w:szCs w:val="24"/>
          <w:lang w:eastAsia="el-GR"/>
        </w:rPr>
      </w:pPr>
    </w:p>
    <w:p w14:paraId="6CE76075" w14:textId="1715A39A" w:rsidR="00C07136" w:rsidRPr="00E36734" w:rsidRDefault="00C07136" w:rsidP="00C07136">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lastRenderedPageBreak/>
        <w:t xml:space="preserve">Γράφημα </w:t>
      </w:r>
      <w:r w:rsidR="00C01329" w:rsidRPr="00E36734">
        <w:rPr>
          <w:rFonts w:ascii="Times New Roman" w:hAnsi="Times New Roman" w:cs="Times New Roman"/>
          <w:b/>
          <w:sz w:val="24"/>
          <w:szCs w:val="24"/>
        </w:rPr>
        <w:t>6</w:t>
      </w:r>
    </w:p>
    <w:p w14:paraId="036C6783" w14:textId="358C2C3A" w:rsidR="00C07136" w:rsidRPr="00E36734" w:rsidRDefault="00C07136" w:rsidP="00C07136">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Ποσοστό μείωσης κύκλου εργασιών</w:t>
      </w:r>
    </w:p>
    <w:p w14:paraId="5D898B8E" w14:textId="19C1AE02" w:rsidR="00C07136" w:rsidRPr="00E36734" w:rsidRDefault="00C07136" w:rsidP="00C07136">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-Βάση επιχειρήσεις που δήλωσαν πως μειώθηκε ο τζίρος τους -</w:t>
      </w:r>
    </w:p>
    <w:p w14:paraId="70CBBB91" w14:textId="77777777" w:rsidR="00C07136" w:rsidRPr="00E36734" w:rsidRDefault="00C07136" w:rsidP="00C07136">
      <w:pPr>
        <w:spacing w:after="0" w:line="360" w:lineRule="auto"/>
        <w:jc w:val="both"/>
        <w:rPr>
          <w:rFonts w:ascii="Times New Roman" w:hAnsi="Times New Roman" w:cs="Times New Roman"/>
          <w:sz w:val="24"/>
          <w:szCs w:val="24"/>
        </w:rPr>
      </w:pPr>
      <w:r w:rsidRPr="00E36734">
        <w:rPr>
          <w:noProof/>
          <w:lang w:eastAsia="el-GR"/>
        </w:rPr>
        <mc:AlternateContent>
          <mc:Choice Requires="wps">
            <w:drawing>
              <wp:anchor distT="0" distB="0" distL="114300" distR="114300" simplePos="0" relativeHeight="251658240" behindDoc="0" locked="0" layoutInCell="1" allowOverlap="1" wp14:anchorId="0C5B3783" wp14:editId="226D4D38">
                <wp:simplePos x="0" y="0"/>
                <wp:positionH relativeFrom="column">
                  <wp:posOffset>4037965</wp:posOffset>
                </wp:positionH>
                <wp:positionV relativeFrom="paragraph">
                  <wp:posOffset>1283970</wp:posOffset>
                </wp:positionV>
                <wp:extent cx="2232025" cy="784225"/>
                <wp:effectExtent l="0" t="0" r="15875" b="25400"/>
                <wp:wrapNone/>
                <wp:docPr id="27" name="TextBox 4"/>
                <wp:cNvGraphicFramePr/>
                <a:graphic xmlns:a="http://schemas.openxmlformats.org/drawingml/2006/main">
                  <a:graphicData uri="http://schemas.microsoft.com/office/word/2010/wordprocessingShape">
                    <wps:wsp>
                      <wps:cNvSpPr txBox="1"/>
                      <wps:spPr>
                        <a:xfrm>
                          <a:off x="0" y="0"/>
                          <a:ext cx="2232025" cy="784225"/>
                        </a:xfrm>
                        <a:prstGeom prst="rect">
                          <a:avLst/>
                        </a:prstGeom>
                        <a:solidFill>
                          <a:sysClr val="window" lastClr="FFFFFF"/>
                        </a:solidFill>
                        <a:ln w="25400" cap="flat" cmpd="sng" algn="ctr">
                          <a:solidFill>
                            <a:srgbClr val="C0504D"/>
                          </a:solidFill>
                          <a:prstDash val="solid"/>
                        </a:ln>
                        <a:effectLst/>
                      </wps:spPr>
                      <wps:txbx>
                        <w:txbxContent>
                          <w:p w14:paraId="7E2BAF0C" w14:textId="77777777" w:rsidR="00C83512" w:rsidRDefault="00C83512" w:rsidP="00C07136">
                            <w:pPr>
                              <w:pStyle w:val="Web"/>
                              <w:spacing w:before="0" w:beforeAutospacing="0" w:after="0" w:afterAutospacing="0" w:line="360" w:lineRule="auto"/>
                              <w:jc w:val="center"/>
                              <w:textAlignment w:val="baseline"/>
                            </w:pPr>
                            <w:r>
                              <w:rPr>
                                <w:rFonts w:ascii="Microsoft JhengHei UI" w:eastAsia="Microsoft JhengHei UI" w:hAnsi="Microsoft JhengHei UI" w:cs="+mn-cs" w:hint="eastAsia"/>
                                <w:b/>
                                <w:bCs/>
                                <w:color w:val="000000"/>
                                <w:kern w:val="24"/>
                                <w:sz w:val="28"/>
                                <w:szCs w:val="28"/>
                              </w:rPr>
                              <w:t xml:space="preserve">Μ.Ο. μείωσης τζίρου: </w:t>
                            </w:r>
                            <w:r>
                              <w:rPr>
                                <w:rFonts w:ascii="Microsoft JhengHei UI" w:eastAsia="Microsoft JhengHei UI" w:hAnsi="Microsoft JhengHei UI" w:cs="+mn-cs" w:hint="eastAsia"/>
                                <w:b/>
                                <w:bCs/>
                                <w:color w:val="000000"/>
                                <w:kern w:val="24"/>
                                <w:sz w:val="32"/>
                                <w:szCs w:val="32"/>
                              </w:rPr>
                              <w:t>47,8%</w:t>
                            </w:r>
                          </w:p>
                        </w:txbxContent>
                      </wps:txbx>
                      <wps:bodyPr wrap="square" rtlCol="0">
                        <a:spAutoFit/>
                      </wps:bodyPr>
                    </wps:wsp>
                  </a:graphicData>
                </a:graphic>
              </wp:anchor>
            </w:drawing>
          </mc:Choice>
          <mc:Fallback>
            <w:pict>
              <v:shapetype w14:anchorId="0C5B3783" id="_x0000_t202" coordsize="21600,21600" o:spt="202" path="m,l,21600r21600,l21600,xe">
                <v:stroke joinstyle="miter"/>
                <v:path gradientshapeok="t" o:connecttype="rect"/>
              </v:shapetype>
              <v:shape id="TextBox 4" o:spid="_x0000_s1026" type="#_x0000_t202" style="position:absolute;left:0;text-align:left;margin-left:317.95pt;margin-top:101.1pt;width:175.75pt;height:6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" fillcolor="window" strokecolor="#c0504d" strokeweight="2pt">
                <v:textbox style="mso-fit-shape-to-text:t">
                  <w:txbxContent>
                    <w:p w14:paraId="7E2BAF0C" w14:textId="77777777" w:rsidR="00C83512" w:rsidRDefault="00C83512" w:rsidP="00C07136">
                      <w:pPr>
                        <w:pStyle w:val="Web"/>
                        <w:spacing w:before="0" w:beforeAutospacing="0" w:after="0" w:afterAutospacing="0" w:line="360" w:lineRule="auto"/>
                        <w:jc w:val="center"/>
                        <w:textAlignment w:val="baseline"/>
                      </w:pPr>
                      <w:r>
                        <w:rPr>
                          <w:rFonts w:ascii="Microsoft JhengHei UI" w:eastAsia="Microsoft JhengHei UI" w:hAnsi="Microsoft JhengHei UI" w:cs="+mn-cs" w:hint="eastAsia"/>
                          <w:b/>
                          <w:bCs/>
                          <w:color w:val="000000"/>
                          <w:kern w:val="24"/>
                          <w:sz w:val="28"/>
                          <w:szCs w:val="28"/>
                        </w:rPr>
                        <w:t xml:space="preserve">Μ.Ο. μείωσης τζίρου: </w:t>
                      </w:r>
                      <w:r>
                        <w:rPr>
                          <w:rFonts w:ascii="Microsoft JhengHei UI" w:eastAsia="Microsoft JhengHei UI" w:hAnsi="Microsoft JhengHei UI" w:cs="+mn-cs" w:hint="eastAsia"/>
                          <w:b/>
                          <w:bCs/>
                          <w:color w:val="000000"/>
                          <w:kern w:val="24"/>
                          <w:sz w:val="32"/>
                          <w:szCs w:val="32"/>
                        </w:rPr>
                        <w:t>47,8%</w:t>
                      </w:r>
                    </w:p>
                  </w:txbxContent>
                </v:textbox>
              </v:shape>
            </w:pict>
          </mc:Fallback>
        </mc:AlternateContent>
      </w:r>
      <w:r w:rsidRPr="00E36734">
        <w:rPr>
          <w:rFonts w:ascii="Times New Roman" w:hAnsi="Times New Roman" w:cs="Times New Roman"/>
          <w:noProof/>
          <w:sz w:val="24"/>
          <w:szCs w:val="24"/>
          <w:lang w:eastAsia="el-GR"/>
        </w:rPr>
        <w:drawing>
          <wp:inline distT="0" distB="0" distL="0" distR="0" wp14:anchorId="563832C3" wp14:editId="45003F60">
            <wp:extent cx="6454140" cy="3040380"/>
            <wp:effectExtent l="0" t="0" r="22860" b="26670"/>
            <wp:docPr id="26" name="Γράφημα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E7A59B" w14:textId="77777777" w:rsidR="00C07136" w:rsidRPr="00E36734" w:rsidRDefault="00C07136" w:rsidP="00C07136">
      <w:pPr>
        <w:spacing w:after="0" w:line="360" w:lineRule="auto"/>
        <w:jc w:val="both"/>
        <w:rPr>
          <w:rFonts w:ascii="Times New Roman" w:hAnsi="Times New Roman" w:cs="Times New Roman"/>
          <w:sz w:val="24"/>
          <w:szCs w:val="24"/>
        </w:rPr>
      </w:pPr>
    </w:p>
    <w:p w14:paraId="5AA373B7" w14:textId="16F7C771" w:rsidR="00876EEE" w:rsidRPr="00E36734" w:rsidRDefault="00876EEE" w:rsidP="00876EEE">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Σημαντικές διαφοροπο</w:t>
      </w:r>
      <w:r w:rsidR="004D3693" w:rsidRPr="00E36734">
        <w:rPr>
          <w:rFonts w:ascii="Times New Roman" w:hAnsi="Times New Roman" w:cs="Times New Roman"/>
          <w:noProof/>
          <w:sz w:val="24"/>
          <w:szCs w:val="24"/>
          <w:lang w:eastAsia="el-GR"/>
        </w:rPr>
        <w:t>ιή</w:t>
      </w:r>
      <w:r w:rsidRPr="00E36734">
        <w:rPr>
          <w:rFonts w:ascii="Times New Roman" w:hAnsi="Times New Roman" w:cs="Times New Roman"/>
          <w:noProof/>
          <w:sz w:val="24"/>
          <w:szCs w:val="24"/>
          <w:lang w:eastAsia="el-GR"/>
        </w:rPr>
        <w:t>σεις καταγράφονται όσον αφορ</w:t>
      </w:r>
      <w:r w:rsidR="004D3693"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 xml:space="preserve"> τις επιπτ</w:t>
      </w:r>
      <w:r w:rsidR="004D3693" w:rsidRPr="00E36734">
        <w:rPr>
          <w:rFonts w:ascii="Times New Roman" w:hAnsi="Times New Roman" w:cs="Times New Roman"/>
          <w:noProof/>
          <w:sz w:val="24"/>
          <w:szCs w:val="24"/>
          <w:lang w:eastAsia="el-GR"/>
        </w:rPr>
        <w:t>ώ</w:t>
      </w:r>
      <w:r w:rsidRPr="00E36734">
        <w:rPr>
          <w:rFonts w:ascii="Times New Roman" w:hAnsi="Times New Roman" w:cs="Times New Roman"/>
          <w:noProof/>
          <w:sz w:val="24"/>
          <w:szCs w:val="24"/>
          <w:lang w:eastAsia="el-GR"/>
        </w:rPr>
        <w:t xml:space="preserve">σεις της πανδημίας στον κύκλο εργασίων ανά κατηγορία επιχείρησεων. Στο </w:t>
      </w:r>
      <w:r w:rsidR="00DB4D1C" w:rsidRPr="00E36734">
        <w:rPr>
          <w:rFonts w:ascii="Times New Roman" w:hAnsi="Times New Roman" w:cs="Times New Roman"/>
          <w:noProof/>
          <w:sz w:val="24"/>
          <w:szCs w:val="24"/>
          <w:lang w:eastAsia="el-GR"/>
        </w:rPr>
        <w:t>Πίνακα 2</w:t>
      </w:r>
      <w:r w:rsidRPr="00E36734">
        <w:rPr>
          <w:rFonts w:ascii="Times New Roman" w:hAnsi="Times New Roman" w:cs="Times New Roman"/>
          <w:noProof/>
          <w:sz w:val="24"/>
          <w:szCs w:val="24"/>
          <w:lang w:eastAsia="el-GR"/>
        </w:rPr>
        <w:t xml:space="preserve"> φαίνονται αναλυτικά οι μεταβολές που επήλθαν το Β εξάμηνο του 2020. Τις μεγαλύτερες απώλειες στον κύκλο εργασιών τους κατέγραψαν οι επιχειρήσε</w:t>
      </w:r>
      <w:r w:rsidR="00274A97" w:rsidRPr="00E36734">
        <w:rPr>
          <w:rFonts w:ascii="Times New Roman" w:hAnsi="Times New Roman" w:cs="Times New Roman"/>
          <w:noProof/>
          <w:sz w:val="24"/>
          <w:szCs w:val="24"/>
          <w:lang w:eastAsia="el-GR"/>
        </w:rPr>
        <w:t>ις</w:t>
      </w:r>
      <w:r w:rsidRPr="00E36734">
        <w:rPr>
          <w:rFonts w:ascii="Times New Roman" w:hAnsi="Times New Roman" w:cs="Times New Roman"/>
          <w:noProof/>
          <w:sz w:val="24"/>
          <w:szCs w:val="24"/>
          <w:lang w:eastAsia="el-GR"/>
        </w:rPr>
        <w:t xml:space="preserve"> στον τομέα των υπηρεσιών </w:t>
      </w:r>
      <w:r w:rsidR="00514FFC" w:rsidRPr="00E36734">
        <w:rPr>
          <w:rFonts w:ascii="Times New Roman" w:hAnsi="Times New Roman" w:cs="Times New Roman"/>
          <w:noProof/>
          <w:sz w:val="24"/>
          <w:szCs w:val="24"/>
          <w:lang w:eastAsia="el-GR"/>
        </w:rPr>
        <w:t>με μεσοσταθμική μ</w:t>
      </w:r>
      <w:r w:rsidR="004D3693" w:rsidRPr="00E36734">
        <w:rPr>
          <w:rFonts w:ascii="Times New Roman" w:hAnsi="Times New Roman" w:cs="Times New Roman"/>
          <w:noProof/>
          <w:sz w:val="24"/>
          <w:szCs w:val="24"/>
          <w:lang w:eastAsia="el-GR"/>
        </w:rPr>
        <w:t>εί</w:t>
      </w:r>
      <w:r w:rsidR="00514FFC" w:rsidRPr="00E36734">
        <w:rPr>
          <w:rFonts w:ascii="Times New Roman" w:hAnsi="Times New Roman" w:cs="Times New Roman"/>
          <w:noProof/>
          <w:sz w:val="24"/>
          <w:szCs w:val="24"/>
          <w:lang w:eastAsia="el-GR"/>
        </w:rPr>
        <w:t xml:space="preserve">ωση τζίρου 37,3%. </w:t>
      </w:r>
      <w:r w:rsidR="00274A97" w:rsidRPr="00E36734">
        <w:rPr>
          <w:rFonts w:ascii="Times New Roman" w:hAnsi="Times New Roman" w:cs="Times New Roman"/>
          <w:noProof/>
          <w:sz w:val="24"/>
          <w:szCs w:val="24"/>
          <w:lang w:eastAsia="el-GR"/>
        </w:rPr>
        <w:t>Επίσης,</w:t>
      </w:r>
      <w:r w:rsidR="00514FFC" w:rsidRPr="00E36734">
        <w:rPr>
          <w:rFonts w:ascii="Times New Roman" w:hAnsi="Times New Roman" w:cs="Times New Roman"/>
          <w:noProof/>
          <w:sz w:val="24"/>
          <w:szCs w:val="24"/>
          <w:lang w:eastAsia="el-GR"/>
        </w:rPr>
        <w:t xml:space="preserve"> </w:t>
      </w:r>
      <w:r w:rsidR="00274A97" w:rsidRPr="00E36734">
        <w:rPr>
          <w:rFonts w:ascii="Times New Roman" w:hAnsi="Times New Roman" w:cs="Times New Roman"/>
          <w:noProof/>
          <w:sz w:val="24"/>
          <w:szCs w:val="24"/>
          <w:lang w:eastAsia="el-GR"/>
        </w:rPr>
        <w:t xml:space="preserve">μεγάλες μειώσεις στον </w:t>
      </w:r>
      <w:r w:rsidR="00B800A3" w:rsidRPr="00E36734">
        <w:rPr>
          <w:rFonts w:ascii="Times New Roman" w:hAnsi="Times New Roman" w:cs="Times New Roman"/>
          <w:noProof/>
          <w:sz w:val="24"/>
          <w:szCs w:val="24"/>
          <w:lang w:eastAsia="el-GR"/>
        </w:rPr>
        <w:t xml:space="preserve">κύκλο εργασιών </w:t>
      </w:r>
      <w:r w:rsidR="00274A97" w:rsidRPr="00E36734">
        <w:rPr>
          <w:rFonts w:ascii="Times New Roman" w:hAnsi="Times New Roman" w:cs="Times New Roman"/>
          <w:noProof/>
          <w:sz w:val="24"/>
          <w:szCs w:val="24"/>
          <w:lang w:eastAsia="el-GR"/>
        </w:rPr>
        <w:t xml:space="preserve">το Β εξάμηνο του 2020 κατέγραψαν </w:t>
      </w:r>
      <w:r w:rsidR="00514FFC" w:rsidRPr="00E36734">
        <w:rPr>
          <w:rFonts w:ascii="Times New Roman" w:hAnsi="Times New Roman" w:cs="Times New Roman"/>
          <w:noProof/>
          <w:sz w:val="24"/>
          <w:szCs w:val="24"/>
          <w:lang w:eastAsia="el-GR"/>
        </w:rPr>
        <w:t>οι επιχειρήσεις που δραστηριοποιο</w:t>
      </w:r>
      <w:r w:rsidR="00655A77" w:rsidRPr="00E36734">
        <w:rPr>
          <w:rFonts w:ascii="Times New Roman" w:hAnsi="Times New Roman" w:cs="Times New Roman"/>
          <w:noProof/>
          <w:sz w:val="24"/>
          <w:szCs w:val="24"/>
          <w:lang w:eastAsia="el-GR"/>
        </w:rPr>
        <w:t>ύ</w:t>
      </w:r>
      <w:r w:rsidR="00514FFC" w:rsidRPr="00E36734">
        <w:rPr>
          <w:rFonts w:ascii="Times New Roman" w:hAnsi="Times New Roman" w:cs="Times New Roman"/>
          <w:noProof/>
          <w:sz w:val="24"/>
          <w:szCs w:val="24"/>
          <w:lang w:eastAsia="el-GR"/>
        </w:rPr>
        <w:t xml:space="preserve">νται στην γεωγραφική περιοχή Νησιά Αιγαίου και Κρήτης </w:t>
      </w:r>
      <w:r w:rsidR="00274A97" w:rsidRPr="00E36734">
        <w:rPr>
          <w:rFonts w:ascii="Times New Roman" w:hAnsi="Times New Roman" w:cs="Times New Roman"/>
          <w:noProof/>
          <w:sz w:val="24"/>
          <w:szCs w:val="24"/>
          <w:lang w:eastAsia="el-GR"/>
        </w:rPr>
        <w:t>με μεσοσταθμική μ</w:t>
      </w:r>
      <w:r w:rsidR="004D3693" w:rsidRPr="00E36734">
        <w:rPr>
          <w:rFonts w:ascii="Times New Roman" w:hAnsi="Times New Roman" w:cs="Times New Roman"/>
          <w:noProof/>
          <w:sz w:val="24"/>
          <w:szCs w:val="24"/>
          <w:lang w:eastAsia="el-GR"/>
        </w:rPr>
        <w:t>εί</w:t>
      </w:r>
      <w:r w:rsidR="00274A97" w:rsidRPr="00E36734">
        <w:rPr>
          <w:rFonts w:ascii="Times New Roman" w:hAnsi="Times New Roman" w:cs="Times New Roman"/>
          <w:noProof/>
          <w:sz w:val="24"/>
          <w:szCs w:val="24"/>
          <w:lang w:eastAsia="el-GR"/>
        </w:rPr>
        <w:t xml:space="preserve">ωση τζίρου </w:t>
      </w:r>
      <w:r w:rsidR="00514FFC" w:rsidRPr="00E36734">
        <w:rPr>
          <w:rFonts w:ascii="Times New Roman" w:hAnsi="Times New Roman" w:cs="Times New Roman"/>
          <w:noProof/>
          <w:sz w:val="24"/>
          <w:szCs w:val="24"/>
          <w:lang w:eastAsia="el-GR"/>
        </w:rPr>
        <w:t xml:space="preserve">39,9%, οι επιχειρήσεις με ετήσιο τζίρο </w:t>
      </w:r>
      <w:r w:rsidR="00B800A3" w:rsidRPr="00E36734">
        <w:rPr>
          <w:rFonts w:ascii="Times New Roman" w:hAnsi="Times New Roman" w:cs="Times New Roman"/>
          <w:noProof/>
          <w:sz w:val="24"/>
          <w:szCs w:val="24"/>
          <w:lang w:eastAsia="el-GR"/>
        </w:rPr>
        <w:t>κάτω από</w:t>
      </w:r>
      <w:r w:rsidR="00514FFC" w:rsidRPr="00E36734">
        <w:rPr>
          <w:rFonts w:ascii="Times New Roman" w:hAnsi="Times New Roman" w:cs="Times New Roman"/>
          <w:noProof/>
          <w:sz w:val="24"/>
          <w:szCs w:val="24"/>
          <w:lang w:eastAsia="el-GR"/>
        </w:rPr>
        <w:t xml:space="preserve"> 50.000 € </w:t>
      </w:r>
      <w:r w:rsidR="00274A97" w:rsidRPr="00E36734">
        <w:rPr>
          <w:rFonts w:ascii="Times New Roman" w:hAnsi="Times New Roman" w:cs="Times New Roman"/>
          <w:noProof/>
          <w:sz w:val="24"/>
          <w:szCs w:val="24"/>
          <w:lang w:eastAsia="el-GR"/>
        </w:rPr>
        <w:t xml:space="preserve">με μεσοσταθμική μείωση τζίρου </w:t>
      </w:r>
      <w:r w:rsidR="00514FFC" w:rsidRPr="00E36734">
        <w:rPr>
          <w:rFonts w:ascii="Times New Roman" w:hAnsi="Times New Roman" w:cs="Times New Roman"/>
          <w:noProof/>
          <w:sz w:val="24"/>
          <w:szCs w:val="24"/>
          <w:lang w:eastAsia="el-GR"/>
        </w:rPr>
        <w:t xml:space="preserve">42,2%, οι επιχειρήσεις χωρίς προσωπικό </w:t>
      </w:r>
      <w:r w:rsidR="00274A97" w:rsidRPr="00E36734">
        <w:rPr>
          <w:rFonts w:ascii="Times New Roman" w:hAnsi="Times New Roman" w:cs="Times New Roman"/>
          <w:noProof/>
          <w:sz w:val="24"/>
          <w:szCs w:val="24"/>
          <w:lang w:eastAsia="el-GR"/>
        </w:rPr>
        <w:t xml:space="preserve">με μεσοσταθμική μείωση τζίρου </w:t>
      </w:r>
      <w:r w:rsidR="00514FFC" w:rsidRPr="00E36734">
        <w:rPr>
          <w:rFonts w:ascii="Times New Roman" w:hAnsi="Times New Roman" w:cs="Times New Roman"/>
          <w:noProof/>
          <w:sz w:val="24"/>
          <w:szCs w:val="24"/>
          <w:lang w:eastAsia="el-GR"/>
        </w:rPr>
        <w:t xml:space="preserve">41,4%, </w:t>
      </w:r>
      <w:bookmarkStart w:id="8" w:name="_Hlk68245928"/>
      <w:r w:rsidR="00514FFC" w:rsidRPr="00E36734">
        <w:rPr>
          <w:rFonts w:ascii="Times New Roman" w:hAnsi="Times New Roman" w:cs="Times New Roman"/>
          <w:noProof/>
          <w:sz w:val="24"/>
          <w:szCs w:val="24"/>
          <w:lang w:eastAsia="el-GR"/>
        </w:rPr>
        <w:t>οι επιχειρήσεις που ανέστειλαν την λειτουργία τους με κρατική εντολή</w:t>
      </w:r>
      <w:r w:rsidR="00274A97" w:rsidRPr="00E36734">
        <w:rPr>
          <w:rFonts w:ascii="Times New Roman" w:hAnsi="Times New Roman" w:cs="Times New Roman"/>
          <w:noProof/>
          <w:sz w:val="24"/>
          <w:szCs w:val="24"/>
          <w:lang w:eastAsia="el-GR"/>
        </w:rPr>
        <w:t xml:space="preserve"> με μεσοσταθμική μείωση τζίρου</w:t>
      </w:r>
      <w:r w:rsidR="00514FFC" w:rsidRPr="00E36734">
        <w:rPr>
          <w:rFonts w:ascii="Times New Roman" w:hAnsi="Times New Roman" w:cs="Times New Roman"/>
          <w:noProof/>
          <w:sz w:val="24"/>
          <w:szCs w:val="24"/>
          <w:lang w:eastAsia="el-GR"/>
        </w:rPr>
        <w:t xml:space="preserve"> 39,3% και οι επιχειρήσεις εστίασης</w:t>
      </w:r>
      <w:r w:rsidR="00274A97" w:rsidRPr="00E36734">
        <w:rPr>
          <w:rFonts w:ascii="Times New Roman" w:hAnsi="Times New Roman" w:cs="Times New Roman"/>
          <w:noProof/>
          <w:sz w:val="24"/>
          <w:szCs w:val="24"/>
          <w:lang w:eastAsia="el-GR"/>
        </w:rPr>
        <w:t xml:space="preserve"> με μεσοσταθμική μείωση τζίρου</w:t>
      </w:r>
      <w:r w:rsidR="00514FFC" w:rsidRPr="00E36734">
        <w:rPr>
          <w:rFonts w:ascii="Times New Roman" w:hAnsi="Times New Roman" w:cs="Times New Roman"/>
          <w:noProof/>
          <w:sz w:val="24"/>
          <w:szCs w:val="24"/>
          <w:lang w:eastAsia="el-GR"/>
        </w:rPr>
        <w:t xml:space="preserve"> 44,2%</w:t>
      </w:r>
      <w:bookmarkEnd w:id="8"/>
      <w:r w:rsidR="00514FFC" w:rsidRPr="00E36734">
        <w:rPr>
          <w:rFonts w:ascii="Times New Roman" w:hAnsi="Times New Roman" w:cs="Times New Roman"/>
          <w:noProof/>
          <w:sz w:val="24"/>
          <w:szCs w:val="24"/>
          <w:lang w:eastAsia="el-GR"/>
        </w:rPr>
        <w:t>. Από την άλλη μεριά τις μικρότερες απώλειες κατέγραψαν οι μεγαλύτερες με βάση τ</w:t>
      </w:r>
      <w:r w:rsidR="00B800A3" w:rsidRPr="00E36734">
        <w:rPr>
          <w:rFonts w:ascii="Times New Roman" w:hAnsi="Times New Roman" w:cs="Times New Roman"/>
          <w:noProof/>
          <w:sz w:val="24"/>
          <w:szCs w:val="24"/>
          <w:lang w:eastAsia="el-GR"/>
        </w:rPr>
        <w:t>ο</w:t>
      </w:r>
      <w:r w:rsidR="00514FFC" w:rsidRPr="00E36734">
        <w:rPr>
          <w:rFonts w:ascii="Times New Roman" w:hAnsi="Times New Roman" w:cs="Times New Roman"/>
          <w:noProof/>
          <w:sz w:val="24"/>
          <w:szCs w:val="24"/>
          <w:lang w:eastAsia="el-GR"/>
        </w:rPr>
        <w:t xml:space="preserve"> κύκλο εργασιών και τον αριθμό εργαζομένων επιχε</w:t>
      </w:r>
      <w:r w:rsidR="004D3693" w:rsidRPr="00E36734">
        <w:rPr>
          <w:rFonts w:ascii="Times New Roman" w:hAnsi="Times New Roman" w:cs="Times New Roman"/>
          <w:noProof/>
          <w:sz w:val="24"/>
          <w:szCs w:val="24"/>
          <w:lang w:eastAsia="el-GR"/>
        </w:rPr>
        <w:t>ι</w:t>
      </w:r>
      <w:r w:rsidR="00514FFC" w:rsidRPr="00E36734">
        <w:rPr>
          <w:rFonts w:ascii="Times New Roman" w:hAnsi="Times New Roman" w:cs="Times New Roman"/>
          <w:noProof/>
          <w:sz w:val="24"/>
          <w:szCs w:val="24"/>
          <w:lang w:eastAsia="el-GR"/>
        </w:rPr>
        <w:t>ρ</w:t>
      </w:r>
      <w:r w:rsidR="004D3693" w:rsidRPr="00E36734">
        <w:rPr>
          <w:rFonts w:ascii="Times New Roman" w:hAnsi="Times New Roman" w:cs="Times New Roman"/>
          <w:noProof/>
          <w:sz w:val="24"/>
          <w:szCs w:val="24"/>
          <w:lang w:eastAsia="el-GR"/>
        </w:rPr>
        <w:t>ή</w:t>
      </w:r>
      <w:r w:rsidR="00514FFC" w:rsidRPr="00E36734">
        <w:rPr>
          <w:rFonts w:ascii="Times New Roman" w:hAnsi="Times New Roman" w:cs="Times New Roman"/>
          <w:noProof/>
          <w:sz w:val="24"/>
          <w:szCs w:val="24"/>
          <w:lang w:eastAsia="el-GR"/>
        </w:rPr>
        <w:t xml:space="preserve">σεις καθώς και εκείνες που δεν </w:t>
      </w:r>
      <w:r w:rsidR="004D3693" w:rsidRPr="00E36734">
        <w:rPr>
          <w:rFonts w:ascii="Times New Roman" w:hAnsi="Times New Roman" w:cs="Times New Roman"/>
          <w:noProof/>
          <w:sz w:val="24"/>
          <w:szCs w:val="24"/>
          <w:lang w:eastAsia="el-GR"/>
        </w:rPr>
        <w:t>α</w:t>
      </w:r>
      <w:r w:rsidR="00514FFC" w:rsidRPr="00E36734">
        <w:rPr>
          <w:rFonts w:ascii="Times New Roman" w:hAnsi="Times New Roman" w:cs="Times New Roman"/>
          <w:noProof/>
          <w:sz w:val="24"/>
          <w:szCs w:val="24"/>
          <w:lang w:eastAsia="el-GR"/>
        </w:rPr>
        <w:t>ν</w:t>
      </w:r>
      <w:r w:rsidR="004D3693" w:rsidRPr="00E36734">
        <w:rPr>
          <w:rFonts w:ascii="Times New Roman" w:hAnsi="Times New Roman" w:cs="Times New Roman"/>
          <w:noProof/>
          <w:sz w:val="24"/>
          <w:szCs w:val="24"/>
          <w:lang w:eastAsia="el-GR"/>
        </w:rPr>
        <w:t>ή</w:t>
      </w:r>
      <w:r w:rsidR="00514FFC" w:rsidRPr="00E36734">
        <w:rPr>
          <w:rFonts w:ascii="Times New Roman" w:hAnsi="Times New Roman" w:cs="Times New Roman"/>
          <w:noProof/>
          <w:sz w:val="24"/>
          <w:szCs w:val="24"/>
          <w:lang w:eastAsia="el-GR"/>
        </w:rPr>
        <w:t>καν ο</w:t>
      </w:r>
      <w:r w:rsidR="00655A77" w:rsidRPr="00E36734">
        <w:rPr>
          <w:rFonts w:ascii="Times New Roman" w:hAnsi="Times New Roman" w:cs="Times New Roman"/>
          <w:noProof/>
          <w:sz w:val="24"/>
          <w:szCs w:val="24"/>
          <w:lang w:eastAsia="el-GR"/>
        </w:rPr>
        <w:t>ύ</w:t>
      </w:r>
      <w:r w:rsidR="00514FFC" w:rsidRPr="00E36734">
        <w:rPr>
          <w:rFonts w:ascii="Times New Roman" w:hAnsi="Times New Roman" w:cs="Times New Roman"/>
          <w:noProof/>
          <w:sz w:val="24"/>
          <w:szCs w:val="24"/>
          <w:lang w:eastAsia="el-GR"/>
        </w:rPr>
        <w:t>τε σε αυτές που αν</w:t>
      </w:r>
      <w:r w:rsidR="00655A77" w:rsidRPr="00E36734">
        <w:rPr>
          <w:rFonts w:ascii="Times New Roman" w:hAnsi="Times New Roman" w:cs="Times New Roman"/>
          <w:noProof/>
          <w:sz w:val="24"/>
          <w:szCs w:val="24"/>
          <w:lang w:eastAsia="el-GR"/>
        </w:rPr>
        <w:t>έ</w:t>
      </w:r>
      <w:r w:rsidR="00514FFC" w:rsidRPr="00E36734">
        <w:rPr>
          <w:rFonts w:ascii="Times New Roman" w:hAnsi="Times New Roman" w:cs="Times New Roman"/>
          <w:noProof/>
          <w:sz w:val="24"/>
          <w:szCs w:val="24"/>
          <w:lang w:eastAsia="el-GR"/>
        </w:rPr>
        <w:t>στειλαν την λειτουργία τους με κρατική εντολή ο</w:t>
      </w:r>
      <w:r w:rsidR="00655A77" w:rsidRPr="00E36734">
        <w:rPr>
          <w:rFonts w:ascii="Times New Roman" w:hAnsi="Times New Roman" w:cs="Times New Roman"/>
          <w:noProof/>
          <w:sz w:val="24"/>
          <w:szCs w:val="24"/>
          <w:lang w:eastAsia="el-GR"/>
        </w:rPr>
        <w:t>ύ</w:t>
      </w:r>
      <w:r w:rsidR="00514FFC" w:rsidRPr="00E36734">
        <w:rPr>
          <w:rFonts w:ascii="Times New Roman" w:hAnsi="Times New Roman" w:cs="Times New Roman"/>
          <w:noProof/>
          <w:sz w:val="24"/>
          <w:szCs w:val="24"/>
          <w:lang w:eastAsia="el-GR"/>
        </w:rPr>
        <w:t xml:space="preserve">τε και </w:t>
      </w:r>
      <w:r w:rsidR="00274A97" w:rsidRPr="00E36734">
        <w:rPr>
          <w:rFonts w:ascii="Times New Roman" w:hAnsi="Times New Roman" w:cs="Times New Roman"/>
          <w:noProof/>
          <w:sz w:val="24"/>
          <w:szCs w:val="24"/>
          <w:lang w:eastAsia="el-GR"/>
        </w:rPr>
        <w:t>στις</w:t>
      </w:r>
      <w:r w:rsidR="00514FFC" w:rsidRPr="00E36734">
        <w:rPr>
          <w:rFonts w:ascii="Times New Roman" w:hAnsi="Times New Roman" w:cs="Times New Roman"/>
          <w:noProof/>
          <w:sz w:val="24"/>
          <w:szCs w:val="24"/>
          <w:lang w:eastAsia="el-GR"/>
        </w:rPr>
        <w:t xml:space="preserve"> πληττόμενες. </w:t>
      </w:r>
    </w:p>
    <w:p w14:paraId="4BCC3A30" w14:textId="54F47AE8" w:rsidR="00514FFC" w:rsidRPr="00E36734" w:rsidRDefault="00514FFC" w:rsidP="00876EEE">
      <w:pPr>
        <w:spacing w:after="0" w:line="360" w:lineRule="auto"/>
        <w:jc w:val="both"/>
        <w:rPr>
          <w:rFonts w:ascii="Times New Roman" w:hAnsi="Times New Roman" w:cs="Times New Roman"/>
          <w:noProof/>
          <w:sz w:val="24"/>
          <w:szCs w:val="24"/>
          <w:lang w:eastAsia="el-GR"/>
        </w:rPr>
      </w:pPr>
      <w:r w:rsidRPr="00E36734">
        <w:rPr>
          <w:rFonts w:ascii="Times New Roman" w:hAnsi="Times New Roman" w:cs="Times New Roman"/>
          <w:noProof/>
          <w:sz w:val="24"/>
          <w:szCs w:val="24"/>
          <w:lang w:eastAsia="el-GR"/>
        </w:rPr>
        <w:t>Θα πρ</w:t>
      </w:r>
      <w:r w:rsidR="004D3693" w:rsidRPr="00E36734">
        <w:rPr>
          <w:rFonts w:ascii="Times New Roman" w:hAnsi="Times New Roman" w:cs="Times New Roman"/>
          <w:noProof/>
          <w:sz w:val="24"/>
          <w:szCs w:val="24"/>
          <w:lang w:eastAsia="el-GR"/>
        </w:rPr>
        <w:t>έ</w:t>
      </w:r>
      <w:r w:rsidRPr="00E36734">
        <w:rPr>
          <w:rFonts w:ascii="Times New Roman" w:hAnsi="Times New Roman" w:cs="Times New Roman"/>
          <w:noProof/>
          <w:sz w:val="24"/>
          <w:szCs w:val="24"/>
          <w:lang w:eastAsia="el-GR"/>
        </w:rPr>
        <w:t>πε</w:t>
      </w:r>
      <w:r w:rsidR="004D3693" w:rsidRPr="00E36734">
        <w:rPr>
          <w:rFonts w:ascii="Times New Roman" w:hAnsi="Times New Roman" w:cs="Times New Roman"/>
          <w:noProof/>
          <w:sz w:val="24"/>
          <w:szCs w:val="24"/>
          <w:lang w:eastAsia="el-GR"/>
        </w:rPr>
        <w:t>ι</w:t>
      </w:r>
      <w:r w:rsidRPr="00E36734">
        <w:rPr>
          <w:rFonts w:ascii="Times New Roman" w:hAnsi="Times New Roman" w:cs="Times New Roman"/>
          <w:noProof/>
          <w:sz w:val="24"/>
          <w:szCs w:val="24"/>
          <w:lang w:eastAsia="el-GR"/>
        </w:rPr>
        <w:t xml:space="preserve"> να σημειωθεί ότι τα παραπάνω ποσοστά αφορο</w:t>
      </w:r>
      <w:r w:rsidR="00547F34" w:rsidRPr="00E36734">
        <w:rPr>
          <w:rFonts w:ascii="Times New Roman" w:hAnsi="Times New Roman" w:cs="Times New Roman"/>
          <w:noProof/>
          <w:sz w:val="24"/>
          <w:szCs w:val="24"/>
          <w:lang w:eastAsia="el-GR"/>
        </w:rPr>
        <w:t>ύ</w:t>
      </w:r>
      <w:r w:rsidRPr="00E36734">
        <w:rPr>
          <w:rFonts w:ascii="Times New Roman" w:hAnsi="Times New Roman" w:cs="Times New Roman"/>
          <w:noProof/>
          <w:sz w:val="24"/>
          <w:szCs w:val="24"/>
          <w:lang w:eastAsia="el-GR"/>
        </w:rPr>
        <w:t>ν το μέσο όρο μείωσης του κύκλου εργασ</w:t>
      </w:r>
      <w:r w:rsidR="004D3693" w:rsidRPr="00E36734">
        <w:rPr>
          <w:rFonts w:ascii="Times New Roman" w:hAnsi="Times New Roman" w:cs="Times New Roman"/>
          <w:noProof/>
          <w:sz w:val="24"/>
          <w:szCs w:val="24"/>
          <w:lang w:eastAsia="el-GR"/>
        </w:rPr>
        <w:t>ιώ</w:t>
      </w:r>
      <w:r w:rsidRPr="00E36734">
        <w:rPr>
          <w:rFonts w:ascii="Times New Roman" w:hAnsi="Times New Roman" w:cs="Times New Roman"/>
          <w:noProof/>
          <w:sz w:val="24"/>
          <w:szCs w:val="24"/>
          <w:lang w:eastAsia="el-GR"/>
        </w:rPr>
        <w:t>ν στο σύνολο των αν</w:t>
      </w:r>
      <w:r w:rsidR="00547F34"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 xml:space="preserve"> κατ</w:t>
      </w:r>
      <w:r w:rsidR="004D3693" w:rsidRPr="00E36734">
        <w:rPr>
          <w:rFonts w:ascii="Times New Roman" w:hAnsi="Times New Roman" w:cs="Times New Roman"/>
          <w:noProof/>
          <w:sz w:val="24"/>
          <w:szCs w:val="24"/>
          <w:lang w:eastAsia="el-GR"/>
        </w:rPr>
        <w:t>η</w:t>
      </w:r>
      <w:r w:rsidRPr="00E36734">
        <w:rPr>
          <w:rFonts w:ascii="Times New Roman" w:hAnsi="Times New Roman" w:cs="Times New Roman"/>
          <w:noProof/>
          <w:sz w:val="24"/>
          <w:szCs w:val="24"/>
          <w:lang w:eastAsia="el-GR"/>
        </w:rPr>
        <w:t>γορία επιχειρήσεων. Με βάση αυτ</w:t>
      </w:r>
      <w:r w:rsidR="00274A97" w:rsidRPr="00E36734">
        <w:rPr>
          <w:rFonts w:ascii="Times New Roman" w:hAnsi="Times New Roman" w:cs="Times New Roman"/>
          <w:noProof/>
          <w:sz w:val="24"/>
          <w:szCs w:val="24"/>
          <w:lang w:eastAsia="el-GR"/>
        </w:rPr>
        <w:t>ά</w:t>
      </w:r>
      <w:r w:rsidRPr="00E36734">
        <w:rPr>
          <w:rFonts w:ascii="Times New Roman" w:hAnsi="Times New Roman" w:cs="Times New Roman"/>
          <w:noProof/>
          <w:sz w:val="24"/>
          <w:szCs w:val="24"/>
          <w:lang w:eastAsia="el-GR"/>
        </w:rPr>
        <w:t xml:space="preserve"> εάν εξετάσουμε τα ποσοστά </w:t>
      </w:r>
      <w:r w:rsidR="004F497A" w:rsidRPr="00E36734">
        <w:rPr>
          <w:rFonts w:ascii="Times New Roman" w:hAnsi="Times New Roman" w:cs="Times New Roman"/>
          <w:noProof/>
          <w:sz w:val="24"/>
          <w:szCs w:val="24"/>
          <w:lang w:eastAsia="el-GR"/>
        </w:rPr>
        <w:t>πτώσης</w:t>
      </w:r>
      <w:r w:rsidRPr="00E36734">
        <w:rPr>
          <w:rFonts w:ascii="Times New Roman" w:hAnsi="Times New Roman" w:cs="Times New Roman"/>
          <w:noProof/>
          <w:sz w:val="24"/>
          <w:szCs w:val="24"/>
          <w:lang w:eastAsia="el-GR"/>
        </w:rPr>
        <w:t xml:space="preserve"> του τζίρου των επιχειρήσεων εκείνων που δήλωσαν</w:t>
      </w:r>
      <w:r w:rsidR="004F497A" w:rsidRPr="00E36734">
        <w:rPr>
          <w:rFonts w:ascii="Times New Roman" w:hAnsi="Times New Roman" w:cs="Times New Roman"/>
          <w:noProof/>
          <w:sz w:val="24"/>
          <w:szCs w:val="24"/>
          <w:lang w:eastAsia="el-GR"/>
        </w:rPr>
        <w:t xml:space="preserve"> μείωση του κύκλου εργασιών τους το Β εξάμηνο, δηλαδή για τις 7 στις 10 επιχειρήσεις, παρατηρούνται επίσης σημαντικές διαφοροποι</w:t>
      </w:r>
      <w:r w:rsidR="004D3693" w:rsidRPr="00E36734">
        <w:rPr>
          <w:rFonts w:ascii="Times New Roman" w:hAnsi="Times New Roman" w:cs="Times New Roman"/>
          <w:noProof/>
          <w:sz w:val="24"/>
          <w:szCs w:val="24"/>
          <w:lang w:eastAsia="el-GR"/>
        </w:rPr>
        <w:t>ή</w:t>
      </w:r>
      <w:r w:rsidR="004F497A" w:rsidRPr="00E36734">
        <w:rPr>
          <w:rFonts w:ascii="Times New Roman" w:hAnsi="Times New Roman" w:cs="Times New Roman"/>
          <w:noProof/>
          <w:sz w:val="24"/>
          <w:szCs w:val="24"/>
          <w:lang w:eastAsia="el-GR"/>
        </w:rPr>
        <w:t>σεις με τη πλέον εμφανή να καταγράφεται στις επιχειρήσεις εστ</w:t>
      </w:r>
      <w:r w:rsidR="00547F34" w:rsidRPr="00E36734">
        <w:rPr>
          <w:rFonts w:ascii="Times New Roman" w:hAnsi="Times New Roman" w:cs="Times New Roman"/>
          <w:noProof/>
          <w:sz w:val="24"/>
          <w:szCs w:val="24"/>
          <w:lang w:eastAsia="el-GR"/>
        </w:rPr>
        <w:t>ί</w:t>
      </w:r>
      <w:r w:rsidR="004F497A" w:rsidRPr="00E36734">
        <w:rPr>
          <w:rFonts w:ascii="Times New Roman" w:hAnsi="Times New Roman" w:cs="Times New Roman"/>
          <w:noProof/>
          <w:sz w:val="24"/>
          <w:szCs w:val="24"/>
          <w:lang w:eastAsia="el-GR"/>
        </w:rPr>
        <w:t xml:space="preserve">ασης με μεσοσταθμική μείωση του τζίρου της τάξης του 59,4%, η οποία μάλιστα αφορά τις σχεδόν 8 στις 10 (77,9%) επιχειρήσεις του κλάδου. </w:t>
      </w:r>
    </w:p>
    <w:p w14:paraId="35371A2F" w14:textId="1DF44C6D" w:rsidR="00675005" w:rsidRPr="00E36734" w:rsidRDefault="00675005" w:rsidP="00761263">
      <w:pPr>
        <w:spacing w:after="0" w:line="360" w:lineRule="auto"/>
        <w:jc w:val="both"/>
        <w:rPr>
          <w:rFonts w:ascii="Times New Roman" w:hAnsi="Times New Roman" w:cs="Times New Roman"/>
          <w:sz w:val="24"/>
          <w:szCs w:val="24"/>
        </w:rPr>
      </w:pPr>
    </w:p>
    <w:p w14:paraId="4024B2C9" w14:textId="77777777" w:rsidR="00675005" w:rsidRPr="00E36734" w:rsidRDefault="00675005" w:rsidP="00761263">
      <w:pPr>
        <w:spacing w:after="0" w:line="360" w:lineRule="auto"/>
        <w:jc w:val="both"/>
        <w:rPr>
          <w:rFonts w:ascii="Times New Roman" w:hAnsi="Times New Roman" w:cs="Times New Roman"/>
          <w:sz w:val="24"/>
          <w:szCs w:val="24"/>
        </w:rPr>
      </w:pPr>
    </w:p>
    <w:p w14:paraId="3FE5B51A" w14:textId="6D6AC917" w:rsidR="00A9257F" w:rsidRPr="00E36734" w:rsidRDefault="00DB4D1C" w:rsidP="00906C6F">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Πίνακας 2</w:t>
      </w:r>
    </w:p>
    <w:tbl>
      <w:tblPr>
        <w:tblW w:w="5000" w:type="pct"/>
        <w:tblLook w:val="04A0" w:firstRow="1" w:lastRow="0" w:firstColumn="1" w:lastColumn="0" w:noHBand="0" w:noVBand="1"/>
      </w:tblPr>
      <w:tblGrid>
        <w:gridCol w:w="1459"/>
        <w:gridCol w:w="1566"/>
        <w:gridCol w:w="877"/>
        <w:gridCol w:w="932"/>
        <w:gridCol w:w="1181"/>
        <w:gridCol w:w="1576"/>
        <w:gridCol w:w="1344"/>
        <w:gridCol w:w="1629"/>
      </w:tblGrid>
      <w:tr w:rsidR="003B2986" w:rsidRPr="00E36734" w14:paraId="4F99E333" w14:textId="77777777" w:rsidTr="003B2986">
        <w:trPr>
          <w:trHeight w:val="288"/>
        </w:trPr>
        <w:tc>
          <w:tcPr>
            <w:tcW w:w="5000" w:type="pct"/>
            <w:gridSpan w:val="8"/>
            <w:tcBorders>
              <w:top w:val="single" w:sz="12" w:space="0" w:color="auto"/>
              <w:left w:val="single" w:sz="12" w:space="0" w:color="auto"/>
              <w:bottom w:val="single" w:sz="4" w:space="0" w:color="auto"/>
              <w:right w:val="single" w:sz="12" w:space="0" w:color="000000"/>
            </w:tcBorders>
            <w:shd w:val="clear" w:color="auto" w:fill="auto"/>
            <w:noWrap/>
            <w:vAlign w:val="bottom"/>
            <w:hideMark/>
          </w:tcPr>
          <w:p w14:paraId="5E6E7C0D" w14:textId="37233993" w:rsidR="003B2986" w:rsidRPr="00E36734" w:rsidRDefault="003B2986" w:rsidP="003B2986">
            <w:pPr>
              <w:spacing w:after="0" w:line="240" w:lineRule="auto"/>
              <w:jc w:val="center"/>
              <w:rPr>
                <w:rFonts w:ascii="Calibri" w:eastAsia="Times New Roman" w:hAnsi="Calibri" w:cs="Calibri"/>
                <w:color w:val="000000"/>
                <w:sz w:val="18"/>
                <w:szCs w:val="18"/>
              </w:rPr>
            </w:pPr>
            <w:r w:rsidRPr="00E36734">
              <w:rPr>
                <w:rFonts w:ascii="Calibri" w:eastAsia="Times New Roman" w:hAnsi="Calibri" w:cs="Calibri"/>
                <w:color w:val="000000"/>
                <w:sz w:val="18"/>
                <w:szCs w:val="18"/>
              </w:rPr>
              <w:t xml:space="preserve">Μεταβολές κύκλου εργασιών πολύ μικρών και μικρομεσαίων επιχειρήσεων Β εξαμήνου 2020 - </w:t>
            </w:r>
            <w:r w:rsidR="003726B2" w:rsidRPr="00E36734">
              <w:rPr>
                <w:rFonts w:ascii="Calibri" w:eastAsia="Times New Roman" w:hAnsi="Calibri" w:cs="Calibri"/>
                <w:color w:val="000000"/>
                <w:sz w:val="18"/>
                <w:szCs w:val="18"/>
              </w:rPr>
              <w:t>ανά</w:t>
            </w:r>
            <w:r w:rsidRPr="00E36734">
              <w:rPr>
                <w:rFonts w:ascii="Calibri" w:eastAsia="Times New Roman" w:hAnsi="Calibri" w:cs="Calibri"/>
                <w:color w:val="000000"/>
                <w:sz w:val="18"/>
                <w:szCs w:val="18"/>
              </w:rPr>
              <w:t xml:space="preserve"> κατηγορία-</w:t>
            </w:r>
          </w:p>
        </w:tc>
      </w:tr>
      <w:tr w:rsidR="003B2986" w:rsidRPr="00E36734" w14:paraId="1200EE34" w14:textId="77777777" w:rsidTr="003B2986">
        <w:trPr>
          <w:trHeight w:val="1056"/>
        </w:trPr>
        <w:tc>
          <w:tcPr>
            <w:tcW w:w="691" w:type="pct"/>
            <w:tcBorders>
              <w:top w:val="nil"/>
              <w:left w:val="single" w:sz="12" w:space="0" w:color="auto"/>
              <w:bottom w:val="single" w:sz="12" w:space="0" w:color="auto"/>
              <w:right w:val="single" w:sz="4" w:space="0" w:color="auto"/>
            </w:tcBorders>
            <w:shd w:val="clear" w:color="auto" w:fill="auto"/>
            <w:vAlign w:val="center"/>
            <w:hideMark/>
          </w:tcPr>
          <w:p w14:paraId="5DAE0B9E" w14:textId="77777777" w:rsidR="003B2986" w:rsidRPr="00E36734" w:rsidRDefault="003B2986" w:rsidP="003B2986">
            <w:pPr>
              <w:spacing w:after="0" w:line="240" w:lineRule="auto"/>
              <w:jc w:val="center"/>
              <w:rPr>
                <w:rFonts w:ascii="Calibri" w:eastAsia="Times New Roman" w:hAnsi="Calibri" w:cs="Calibri"/>
                <w:color w:val="000000"/>
                <w:sz w:val="16"/>
                <w:szCs w:val="16"/>
                <w:lang w:val="en-US"/>
              </w:rPr>
            </w:pPr>
            <w:r w:rsidRPr="00E36734">
              <w:rPr>
                <w:rFonts w:ascii="Calibri" w:eastAsia="Times New Roman" w:hAnsi="Calibri" w:cs="Calibri"/>
                <w:color w:val="000000"/>
                <w:sz w:val="16"/>
                <w:szCs w:val="16"/>
                <w:lang w:val="en-US"/>
              </w:rPr>
              <w:t>ΚΑΤΗΓΟΡΙΕΣ</w:t>
            </w:r>
          </w:p>
        </w:tc>
        <w:tc>
          <w:tcPr>
            <w:tcW w:w="741" w:type="pct"/>
            <w:tcBorders>
              <w:top w:val="nil"/>
              <w:left w:val="nil"/>
              <w:bottom w:val="single" w:sz="12" w:space="0" w:color="auto"/>
              <w:right w:val="single" w:sz="4" w:space="0" w:color="auto"/>
            </w:tcBorders>
            <w:shd w:val="clear" w:color="auto" w:fill="auto"/>
            <w:vAlign w:val="center"/>
            <w:hideMark/>
          </w:tcPr>
          <w:p w14:paraId="7900A268" w14:textId="0B7BF3FF" w:rsidR="003B2986" w:rsidRPr="00E36734" w:rsidRDefault="003B2986" w:rsidP="003B2986">
            <w:pPr>
              <w:spacing w:after="0" w:line="240" w:lineRule="auto"/>
              <w:jc w:val="center"/>
              <w:rPr>
                <w:rFonts w:ascii="Calibri" w:eastAsia="Times New Roman" w:hAnsi="Calibri" w:cs="Calibri"/>
                <w:color w:val="000000"/>
                <w:sz w:val="16"/>
                <w:szCs w:val="16"/>
              </w:rPr>
            </w:pPr>
            <w:r w:rsidRPr="00E36734">
              <w:rPr>
                <w:rFonts w:ascii="Calibri" w:eastAsia="Times New Roman" w:hAnsi="Calibri" w:cs="Calibri"/>
                <w:color w:val="000000"/>
                <w:sz w:val="16"/>
                <w:szCs w:val="16"/>
              </w:rPr>
              <w:t xml:space="preserve">Ο κύκλος εργασιών το Β </w:t>
            </w:r>
            <w:r w:rsidR="003726B2" w:rsidRPr="00E36734">
              <w:rPr>
                <w:rFonts w:ascii="Calibri" w:eastAsia="Times New Roman" w:hAnsi="Calibri" w:cs="Calibri"/>
                <w:color w:val="000000"/>
                <w:sz w:val="16"/>
                <w:szCs w:val="16"/>
              </w:rPr>
              <w:t>εξάμηνο</w:t>
            </w:r>
            <w:r w:rsidRPr="00E36734">
              <w:rPr>
                <w:rFonts w:ascii="Calibri" w:eastAsia="Times New Roman" w:hAnsi="Calibri" w:cs="Calibri"/>
                <w:color w:val="000000"/>
                <w:sz w:val="16"/>
                <w:szCs w:val="16"/>
              </w:rPr>
              <w:t xml:space="preserve"> του 2020</w:t>
            </w:r>
          </w:p>
        </w:tc>
        <w:tc>
          <w:tcPr>
            <w:tcW w:w="415" w:type="pct"/>
            <w:tcBorders>
              <w:top w:val="nil"/>
              <w:left w:val="nil"/>
              <w:bottom w:val="single" w:sz="12" w:space="0" w:color="auto"/>
              <w:right w:val="single" w:sz="4" w:space="0" w:color="auto"/>
            </w:tcBorders>
            <w:shd w:val="clear" w:color="auto" w:fill="auto"/>
            <w:vAlign w:val="center"/>
            <w:hideMark/>
          </w:tcPr>
          <w:p w14:paraId="28637335" w14:textId="3FD27F45" w:rsidR="003B2986" w:rsidRPr="00E36734" w:rsidRDefault="003B2986" w:rsidP="003B2986">
            <w:pPr>
              <w:spacing w:after="0" w:line="240" w:lineRule="auto"/>
              <w:jc w:val="center"/>
              <w:rPr>
                <w:rFonts w:ascii="Calibri" w:eastAsia="Times New Roman" w:hAnsi="Calibri" w:cs="Calibri"/>
                <w:color w:val="000000"/>
                <w:sz w:val="16"/>
                <w:szCs w:val="16"/>
                <w:lang w:val="en-US"/>
              </w:rPr>
            </w:pPr>
            <w:r w:rsidRPr="00E36734">
              <w:rPr>
                <w:rFonts w:ascii="Calibri" w:eastAsia="Times New Roman" w:hAnsi="Calibri" w:cs="Calibri"/>
                <w:color w:val="000000"/>
                <w:sz w:val="16"/>
                <w:szCs w:val="16"/>
                <w:lang w:val="en-US"/>
              </w:rPr>
              <w:t>Αυξ</w:t>
            </w:r>
            <w:r w:rsidRPr="00E36734">
              <w:rPr>
                <w:rFonts w:ascii="Calibri" w:eastAsia="Times New Roman" w:hAnsi="Calibri" w:cs="Calibri"/>
                <w:color w:val="000000"/>
                <w:sz w:val="16"/>
                <w:szCs w:val="16"/>
              </w:rPr>
              <w:t>ή</w:t>
            </w:r>
            <w:r w:rsidRPr="00E36734">
              <w:rPr>
                <w:rFonts w:ascii="Calibri" w:eastAsia="Times New Roman" w:hAnsi="Calibri" w:cs="Calibri"/>
                <w:color w:val="000000"/>
                <w:sz w:val="16"/>
                <w:szCs w:val="16"/>
                <w:lang w:val="en-US"/>
              </w:rPr>
              <w:t>θηκε</w:t>
            </w:r>
          </w:p>
        </w:tc>
        <w:tc>
          <w:tcPr>
            <w:tcW w:w="441" w:type="pct"/>
            <w:tcBorders>
              <w:top w:val="nil"/>
              <w:left w:val="nil"/>
              <w:bottom w:val="single" w:sz="12" w:space="0" w:color="auto"/>
              <w:right w:val="single" w:sz="4" w:space="0" w:color="auto"/>
            </w:tcBorders>
            <w:shd w:val="clear" w:color="auto" w:fill="auto"/>
            <w:vAlign w:val="center"/>
            <w:hideMark/>
          </w:tcPr>
          <w:p w14:paraId="0A4782D0" w14:textId="77777777" w:rsidR="003B2986" w:rsidRPr="00E36734" w:rsidRDefault="003B2986" w:rsidP="003B2986">
            <w:pPr>
              <w:spacing w:after="0" w:line="240" w:lineRule="auto"/>
              <w:jc w:val="center"/>
              <w:rPr>
                <w:rFonts w:ascii="Calibri" w:eastAsia="Times New Roman" w:hAnsi="Calibri" w:cs="Calibri"/>
                <w:color w:val="000000"/>
                <w:sz w:val="16"/>
                <w:szCs w:val="16"/>
                <w:lang w:val="en-US"/>
              </w:rPr>
            </w:pPr>
            <w:r w:rsidRPr="00E36734">
              <w:rPr>
                <w:rFonts w:ascii="Calibri" w:eastAsia="Times New Roman" w:hAnsi="Calibri" w:cs="Calibri"/>
                <w:color w:val="000000"/>
                <w:sz w:val="16"/>
                <w:szCs w:val="16"/>
                <w:lang w:val="en-US"/>
              </w:rPr>
              <w:t>Μειώθηκε</w:t>
            </w:r>
          </w:p>
        </w:tc>
        <w:tc>
          <w:tcPr>
            <w:tcW w:w="559" w:type="pct"/>
            <w:tcBorders>
              <w:top w:val="nil"/>
              <w:left w:val="nil"/>
              <w:bottom w:val="single" w:sz="12" w:space="0" w:color="auto"/>
              <w:right w:val="double" w:sz="6" w:space="0" w:color="auto"/>
            </w:tcBorders>
            <w:shd w:val="clear" w:color="auto" w:fill="auto"/>
            <w:vAlign w:val="center"/>
            <w:hideMark/>
          </w:tcPr>
          <w:p w14:paraId="74720EC5" w14:textId="77777777" w:rsidR="003B2986" w:rsidRPr="00E36734" w:rsidRDefault="003B2986" w:rsidP="003B2986">
            <w:pPr>
              <w:spacing w:after="0" w:line="240" w:lineRule="auto"/>
              <w:jc w:val="center"/>
              <w:rPr>
                <w:rFonts w:ascii="Calibri" w:eastAsia="Times New Roman" w:hAnsi="Calibri" w:cs="Calibri"/>
                <w:color w:val="000000"/>
                <w:sz w:val="16"/>
                <w:szCs w:val="16"/>
                <w:lang w:val="en-US"/>
              </w:rPr>
            </w:pPr>
            <w:r w:rsidRPr="00E36734">
              <w:rPr>
                <w:rFonts w:ascii="Calibri" w:eastAsia="Times New Roman" w:hAnsi="Calibri" w:cs="Calibri"/>
                <w:color w:val="000000"/>
                <w:sz w:val="16"/>
                <w:szCs w:val="16"/>
                <w:lang w:val="en-US"/>
              </w:rPr>
              <w:t>Παρέμεινε αμετάβλητος</w:t>
            </w:r>
          </w:p>
        </w:tc>
        <w:tc>
          <w:tcPr>
            <w:tcW w:w="746" w:type="pct"/>
            <w:tcBorders>
              <w:top w:val="nil"/>
              <w:left w:val="nil"/>
              <w:bottom w:val="single" w:sz="12" w:space="0" w:color="auto"/>
              <w:right w:val="single" w:sz="4" w:space="0" w:color="auto"/>
            </w:tcBorders>
            <w:shd w:val="clear" w:color="auto" w:fill="auto"/>
            <w:vAlign w:val="bottom"/>
            <w:hideMark/>
          </w:tcPr>
          <w:p w14:paraId="56AD9805" w14:textId="47836976" w:rsidR="003B2986" w:rsidRPr="00E36734" w:rsidRDefault="003B2986" w:rsidP="003B2986">
            <w:pPr>
              <w:spacing w:after="0" w:line="240" w:lineRule="auto"/>
              <w:jc w:val="center"/>
              <w:rPr>
                <w:rFonts w:ascii="Calibri" w:eastAsia="Times New Roman" w:hAnsi="Calibri" w:cs="Calibri"/>
                <w:color w:val="000000"/>
                <w:sz w:val="16"/>
                <w:szCs w:val="16"/>
              </w:rPr>
            </w:pPr>
            <w:r w:rsidRPr="00E36734">
              <w:rPr>
                <w:rFonts w:ascii="Calibri" w:eastAsia="Times New Roman" w:hAnsi="Calibri" w:cs="Calibri"/>
                <w:color w:val="000000"/>
                <w:sz w:val="16"/>
                <w:szCs w:val="16"/>
              </w:rPr>
              <w:t>Μέσος όρος αύξησης τζίρου (επιχειρήσεις που δήλωσαν πως αυξήθηκε ο τζίρος τους)</w:t>
            </w:r>
          </w:p>
        </w:tc>
        <w:tc>
          <w:tcPr>
            <w:tcW w:w="636" w:type="pct"/>
            <w:tcBorders>
              <w:top w:val="nil"/>
              <w:left w:val="nil"/>
              <w:bottom w:val="single" w:sz="12" w:space="0" w:color="auto"/>
              <w:right w:val="single" w:sz="4" w:space="0" w:color="auto"/>
            </w:tcBorders>
            <w:shd w:val="clear" w:color="auto" w:fill="auto"/>
            <w:vAlign w:val="bottom"/>
            <w:hideMark/>
          </w:tcPr>
          <w:p w14:paraId="5CADECC7" w14:textId="77777777" w:rsidR="003B2986" w:rsidRPr="00E36734" w:rsidRDefault="003B2986" w:rsidP="003B2986">
            <w:pPr>
              <w:spacing w:after="0" w:line="240" w:lineRule="auto"/>
              <w:jc w:val="center"/>
              <w:rPr>
                <w:rFonts w:ascii="Calibri" w:eastAsia="Times New Roman" w:hAnsi="Calibri" w:cs="Calibri"/>
                <w:color w:val="000000"/>
                <w:sz w:val="16"/>
                <w:szCs w:val="16"/>
              </w:rPr>
            </w:pPr>
            <w:r w:rsidRPr="00E36734">
              <w:rPr>
                <w:rFonts w:ascii="Calibri" w:eastAsia="Times New Roman" w:hAnsi="Calibri" w:cs="Calibri"/>
                <w:color w:val="000000"/>
                <w:sz w:val="16"/>
                <w:szCs w:val="16"/>
              </w:rPr>
              <w:t>Μέσος όρος μείωσης τζίρου (επιχειρήσεις που δήλωσαν πως μειώθηκε ο τζίρος τους)</w:t>
            </w:r>
          </w:p>
        </w:tc>
        <w:tc>
          <w:tcPr>
            <w:tcW w:w="771" w:type="pct"/>
            <w:tcBorders>
              <w:top w:val="nil"/>
              <w:left w:val="nil"/>
              <w:bottom w:val="single" w:sz="12" w:space="0" w:color="auto"/>
              <w:right w:val="single" w:sz="12" w:space="0" w:color="auto"/>
            </w:tcBorders>
            <w:shd w:val="clear" w:color="auto" w:fill="auto"/>
            <w:vAlign w:val="bottom"/>
            <w:hideMark/>
          </w:tcPr>
          <w:p w14:paraId="17617CE4" w14:textId="7682DE97" w:rsidR="003B2986" w:rsidRPr="00E36734" w:rsidRDefault="003B2986" w:rsidP="003B2986">
            <w:pPr>
              <w:spacing w:after="0" w:line="240" w:lineRule="auto"/>
              <w:jc w:val="center"/>
              <w:rPr>
                <w:rFonts w:ascii="Calibri" w:eastAsia="Times New Roman" w:hAnsi="Calibri" w:cs="Calibri"/>
                <w:color w:val="000000"/>
                <w:sz w:val="16"/>
                <w:szCs w:val="16"/>
              </w:rPr>
            </w:pPr>
            <w:r w:rsidRPr="00E36734">
              <w:rPr>
                <w:rFonts w:ascii="Calibri" w:eastAsia="Times New Roman" w:hAnsi="Calibri" w:cs="Calibri"/>
                <w:color w:val="000000"/>
                <w:sz w:val="16"/>
                <w:szCs w:val="16"/>
              </w:rPr>
              <w:t xml:space="preserve">Μεσοσταθμική ποσοστιαία μεταβολή τζίρου στο </w:t>
            </w:r>
            <w:r w:rsidR="003726B2" w:rsidRPr="00E36734">
              <w:rPr>
                <w:rFonts w:ascii="Calibri" w:eastAsia="Times New Roman" w:hAnsi="Calibri" w:cs="Calibri"/>
                <w:color w:val="000000"/>
                <w:sz w:val="16"/>
                <w:szCs w:val="16"/>
              </w:rPr>
              <w:t>σύνολο</w:t>
            </w:r>
            <w:r w:rsidRPr="00E36734">
              <w:rPr>
                <w:rFonts w:ascii="Calibri" w:eastAsia="Times New Roman" w:hAnsi="Calibri" w:cs="Calibri"/>
                <w:color w:val="000000"/>
                <w:sz w:val="16"/>
                <w:szCs w:val="16"/>
              </w:rPr>
              <w:t xml:space="preserve"> των επιχειρήσεων της κατηγορίας</w:t>
            </w:r>
          </w:p>
        </w:tc>
      </w:tr>
      <w:tr w:rsidR="003B2986" w:rsidRPr="00E36734" w14:paraId="6474FF5F" w14:textId="77777777" w:rsidTr="003B2986">
        <w:trPr>
          <w:trHeight w:val="300"/>
        </w:trPr>
        <w:tc>
          <w:tcPr>
            <w:tcW w:w="691" w:type="pct"/>
            <w:vMerge w:val="restart"/>
            <w:tcBorders>
              <w:top w:val="nil"/>
              <w:left w:val="single" w:sz="12" w:space="0" w:color="auto"/>
              <w:bottom w:val="single" w:sz="12" w:space="0" w:color="000000"/>
              <w:right w:val="single" w:sz="4" w:space="0" w:color="auto"/>
            </w:tcBorders>
            <w:shd w:val="clear" w:color="auto" w:fill="auto"/>
            <w:vAlign w:val="center"/>
            <w:hideMark/>
          </w:tcPr>
          <w:p w14:paraId="48BEFD4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ΚΛΑΔΟΣ</w:t>
            </w:r>
          </w:p>
        </w:tc>
        <w:tc>
          <w:tcPr>
            <w:tcW w:w="741" w:type="pct"/>
            <w:tcBorders>
              <w:top w:val="nil"/>
              <w:left w:val="nil"/>
              <w:bottom w:val="single" w:sz="4" w:space="0" w:color="auto"/>
              <w:right w:val="single" w:sz="4" w:space="0" w:color="auto"/>
            </w:tcBorders>
            <w:shd w:val="clear" w:color="auto" w:fill="auto"/>
            <w:vAlign w:val="bottom"/>
            <w:hideMark/>
          </w:tcPr>
          <w:p w14:paraId="62079C6E"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Εμπόριο</w:t>
            </w:r>
          </w:p>
        </w:tc>
        <w:tc>
          <w:tcPr>
            <w:tcW w:w="415" w:type="pct"/>
            <w:tcBorders>
              <w:top w:val="nil"/>
              <w:left w:val="nil"/>
              <w:bottom w:val="single" w:sz="4" w:space="0" w:color="auto"/>
              <w:right w:val="single" w:sz="4" w:space="0" w:color="auto"/>
            </w:tcBorders>
            <w:shd w:val="clear" w:color="auto" w:fill="auto"/>
            <w:noWrap/>
            <w:vAlign w:val="bottom"/>
            <w:hideMark/>
          </w:tcPr>
          <w:p w14:paraId="590909A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13,5</w:t>
            </w:r>
          </w:p>
        </w:tc>
        <w:tc>
          <w:tcPr>
            <w:tcW w:w="441" w:type="pct"/>
            <w:tcBorders>
              <w:top w:val="nil"/>
              <w:left w:val="nil"/>
              <w:bottom w:val="single" w:sz="4" w:space="0" w:color="auto"/>
              <w:right w:val="single" w:sz="4" w:space="0" w:color="auto"/>
            </w:tcBorders>
            <w:shd w:val="clear" w:color="auto" w:fill="auto"/>
            <w:noWrap/>
            <w:vAlign w:val="bottom"/>
            <w:hideMark/>
          </w:tcPr>
          <w:p w14:paraId="4AC4B99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69,6</w:t>
            </w:r>
          </w:p>
        </w:tc>
        <w:tc>
          <w:tcPr>
            <w:tcW w:w="559" w:type="pct"/>
            <w:tcBorders>
              <w:top w:val="nil"/>
              <w:left w:val="nil"/>
              <w:bottom w:val="single" w:sz="4" w:space="0" w:color="auto"/>
              <w:right w:val="double" w:sz="6" w:space="0" w:color="auto"/>
            </w:tcBorders>
            <w:shd w:val="clear" w:color="auto" w:fill="auto"/>
            <w:noWrap/>
            <w:vAlign w:val="bottom"/>
            <w:hideMark/>
          </w:tcPr>
          <w:p w14:paraId="780FBE5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15,5</w:t>
            </w:r>
          </w:p>
        </w:tc>
        <w:tc>
          <w:tcPr>
            <w:tcW w:w="746" w:type="pct"/>
            <w:tcBorders>
              <w:top w:val="nil"/>
              <w:left w:val="nil"/>
              <w:bottom w:val="single" w:sz="4" w:space="0" w:color="auto"/>
              <w:right w:val="single" w:sz="4" w:space="0" w:color="auto"/>
            </w:tcBorders>
            <w:shd w:val="clear" w:color="auto" w:fill="auto"/>
            <w:vAlign w:val="bottom"/>
            <w:hideMark/>
          </w:tcPr>
          <w:p w14:paraId="0F0651E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17,7</w:t>
            </w:r>
          </w:p>
        </w:tc>
        <w:tc>
          <w:tcPr>
            <w:tcW w:w="636" w:type="pct"/>
            <w:tcBorders>
              <w:top w:val="nil"/>
              <w:left w:val="nil"/>
              <w:bottom w:val="single" w:sz="4" w:space="0" w:color="auto"/>
              <w:right w:val="single" w:sz="4" w:space="0" w:color="auto"/>
            </w:tcBorders>
            <w:shd w:val="clear" w:color="auto" w:fill="auto"/>
            <w:vAlign w:val="bottom"/>
            <w:hideMark/>
          </w:tcPr>
          <w:p w14:paraId="008097E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-40,7</w:t>
            </w:r>
          </w:p>
        </w:tc>
        <w:tc>
          <w:tcPr>
            <w:tcW w:w="771" w:type="pct"/>
            <w:tcBorders>
              <w:top w:val="nil"/>
              <w:left w:val="nil"/>
              <w:bottom w:val="single" w:sz="4" w:space="0" w:color="auto"/>
              <w:right w:val="single" w:sz="12" w:space="0" w:color="auto"/>
            </w:tcBorders>
            <w:shd w:val="clear" w:color="auto" w:fill="auto"/>
            <w:noWrap/>
            <w:vAlign w:val="bottom"/>
            <w:hideMark/>
          </w:tcPr>
          <w:p w14:paraId="604F7CD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-26,7</w:t>
            </w:r>
          </w:p>
        </w:tc>
      </w:tr>
      <w:tr w:rsidR="003B2986" w:rsidRPr="00E36734" w14:paraId="1463B387"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7775DED0"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7FF1C2B3"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Μεταποίηση</w:t>
            </w:r>
          </w:p>
        </w:tc>
        <w:tc>
          <w:tcPr>
            <w:tcW w:w="415" w:type="pct"/>
            <w:tcBorders>
              <w:top w:val="nil"/>
              <w:left w:val="nil"/>
              <w:bottom w:val="single" w:sz="4" w:space="0" w:color="auto"/>
              <w:right w:val="single" w:sz="4" w:space="0" w:color="auto"/>
            </w:tcBorders>
            <w:shd w:val="clear" w:color="auto" w:fill="auto"/>
            <w:noWrap/>
            <w:vAlign w:val="bottom"/>
            <w:hideMark/>
          </w:tcPr>
          <w:p w14:paraId="78C7580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10,3</w:t>
            </w:r>
          </w:p>
        </w:tc>
        <w:tc>
          <w:tcPr>
            <w:tcW w:w="441" w:type="pct"/>
            <w:tcBorders>
              <w:top w:val="nil"/>
              <w:left w:val="nil"/>
              <w:bottom w:val="single" w:sz="4" w:space="0" w:color="auto"/>
              <w:right w:val="single" w:sz="4" w:space="0" w:color="auto"/>
            </w:tcBorders>
            <w:shd w:val="clear" w:color="auto" w:fill="auto"/>
            <w:noWrap/>
            <w:vAlign w:val="bottom"/>
            <w:hideMark/>
          </w:tcPr>
          <w:p w14:paraId="12888F8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70,1</w:t>
            </w:r>
          </w:p>
        </w:tc>
        <w:tc>
          <w:tcPr>
            <w:tcW w:w="559" w:type="pct"/>
            <w:tcBorders>
              <w:top w:val="nil"/>
              <w:left w:val="nil"/>
              <w:bottom w:val="single" w:sz="4" w:space="0" w:color="auto"/>
              <w:right w:val="double" w:sz="6" w:space="0" w:color="auto"/>
            </w:tcBorders>
            <w:shd w:val="clear" w:color="auto" w:fill="auto"/>
            <w:noWrap/>
            <w:vAlign w:val="bottom"/>
            <w:hideMark/>
          </w:tcPr>
          <w:p w14:paraId="1BF82F6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18,6</w:t>
            </w:r>
          </w:p>
        </w:tc>
        <w:tc>
          <w:tcPr>
            <w:tcW w:w="746" w:type="pct"/>
            <w:tcBorders>
              <w:top w:val="nil"/>
              <w:left w:val="nil"/>
              <w:bottom w:val="single" w:sz="4" w:space="0" w:color="auto"/>
              <w:right w:val="single" w:sz="4" w:space="0" w:color="auto"/>
            </w:tcBorders>
            <w:shd w:val="clear" w:color="auto" w:fill="auto"/>
            <w:vAlign w:val="bottom"/>
            <w:hideMark/>
          </w:tcPr>
          <w:p w14:paraId="1B3F3CB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16,3</w:t>
            </w:r>
          </w:p>
        </w:tc>
        <w:tc>
          <w:tcPr>
            <w:tcW w:w="636" w:type="pct"/>
            <w:tcBorders>
              <w:top w:val="nil"/>
              <w:left w:val="nil"/>
              <w:bottom w:val="single" w:sz="4" w:space="0" w:color="auto"/>
              <w:right w:val="single" w:sz="4" w:space="0" w:color="auto"/>
            </w:tcBorders>
            <w:shd w:val="clear" w:color="auto" w:fill="auto"/>
            <w:vAlign w:val="bottom"/>
            <w:hideMark/>
          </w:tcPr>
          <w:p w14:paraId="6408F81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-48,2</w:t>
            </w:r>
          </w:p>
        </w:tc>
        <w:tc>
          <w:tcPr>
            <w:tcW w:w="771" w:type="pct"/>
            <w:tcBorders>
              <w:top w:val="nil"/>
              <w:left w:val="nil"/>
              <w:bottom w:val="single" w:sz="4" w:space="0" w:color="auto"/>
              <w:right w:val="single" w:sz="12" w:space="0" w:color="auto"/>
            </w:tcBorders>
            <w:shd w:val="clear" w:color="auto" w:fill="auto"/>
            <w:noWrap/>
            <w:vAlign w:val="bottom"/>
            <w:hideMark/>
          </w:tcPr>
          <w:p w14:paraId="472292B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-33,4</w:t>
            </w:r>
          </w:p>
        </w:tc>
      </w:tr>
      <w:tr w:rsidR="003B2986" w:rsidRPr="00E36734" w14:paraId="08BC7967" w14:textId="77777777" w:rsidTr="003B2986">
        <w:trPr>
          <w:trHeight w:val="300"/>
        </w:trPr>
        <w:tc>
          <w:tcPr>
            <w:tcW w:w="691" w:type="pct"/>
            <w:vMerge/>
            <w:tcBorders>
              <w:top w:val="nil"/>
              <w:left w:val="single" w:sz="12" w:space="0" w:color="auto"/>
              <w:bottom w:val="single" w:sz="12" w:space="0" w:color="000000"/>
              <w:right w:val="single" w:sz="4" w:space="0" w:color="auto"/>
            </w:tcBorders>
            <w:vAlign w:val="center"/>
            <w:hideMark/>
          </w:tcPr>
          <w:p w14:paraId="4FEB003C"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12" w:space="0" w:color="auto"/>
              <w:right w:val="single" w:sz="4" w:space="0" w:color="auto"/>
            </w:tcBorders>
            <w:shd w:val="clear" w:color="auto" w:fill="auto"/>
            <w:vAlign w:val="bottom"/>
            <w:hideMark/>
          </w:tcPr>
          <w:p w14:paraId="0574CE80"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Υπηρεσίες</w:t>
            </w:r>
          </w:p>
        </w:tc>
        <w:tc>
          <w:tcPr>
            <w:tcW w:w="415" w:type="pct"/>
            <w:tcBorders>
              <w:top w:val="nil"/>
              <w:left w:val="nil"/>
              <w:bottom w:val="single" w:sz="12" w:space="0" w:color="auto"/>
              <w:right w:val="single" w:sz="4" w:space="0" w:color="auto"/>
            </w:tcBorders>
            <w:shd w:val="clear" w:color="auto" w:fill="auto"/>
            <w:noWrap/>
            <w:vAlign w:val="bottom"/>
            <w:hideMark/>
          </w:tcPr>
          <w:p w14:paraId="6D22A9A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9,3</w:t>
            </w:r>
          </w:p>
        </w:tc>
        <w:tc>
          <w:tcPr>
            <w:tcW w:w="441" w:type="pct"/>
            <w:tcBorders>
              <w:top w:val="nil"/>
              <w:left w:val="nil"/>
              <w:bottom w:val="single" w:sz="12" w:space="0" w:color="auto"/>
              <w:right w:val="single" w:sz="4" w:space="0" w:color="auto"/>
            </w:tcBorders>
            <w:shd w:val="clear" w:color="auto" w:fill="auto"/>
            <w:noWrap/>
            <w:vAlign w:val="bottom"/>
            <w:hideMark/>
          </w:tcPr>
          <w:p w14:paraId="65D3BC3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72,0</w:t>
            </w:r>
          </w:p>
        </w:tc>
        <w:tc>
          <w:tcPr>
            <w:tcW w:w="559" w:type="pct"/>
            <w:tcBorders>
              <w:top w:val="nil"/>
              <w:left w:val="nil"/>
              <w:bottom w:val="single" w:sz="12" w:space="0" w:color="auto"/>
              <w:right w:val="double" w:sz="6" w:space="0" w:color="auto"/>
            </w:tcBorders>
            <w:shd w:val="clear" w:color="auto" w:fill="auto"/>
            <w:noWrap/>
            <w:vAlign w:val="bottom"/>
            <w:hideMark/>
          </w:tcPr>
          <w:p w14:paraId="06E7912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17,0</w:t>
            </w:r>
          </w:p>
        </w:tc>
        <w:tc>
          <w:tcPr>
            <w:tcW w:w="746" w:type="pct"/>
            <w:tcBorders>
              <w:top w:val="nil"/>
              <w:left w:val="nil"/>
              <w:bottom w:val="single" w:sz="12" w:space="0" w:color="auto"/>
              <w:right w:val="single" w:sz="4" w:space="0" w:color="auto"/>
            </w:tcBorders>
            <w:shd w:val="clear" w:color="auto" w:fill="auto"/>
            <w:noWrap/>
            <w:vAlign w:val="bottom"/>
            <w:hideMark/>
          </w:tcPr>
          <w:p w14:paraId="7CB72C9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29,4</w:t>
            </w:r>
          </w:p>
        </w:tc>
        <w:tc>
          <w:tcPr>
            <w:tcW w:w="636" w:type="pct"/>
            <w:tcBorders>
              <w:top w:val="nil"/>
              <w:left w:val="nil"/>
              <w:bottom w:val="single" w:sz="12" w:space="0" w:color="auto"/>
              <w:right w:val="single" w:sz="4" w:space="0" w:color="auto"/>
            </w:tcBorders>
            <w:shd w:val="clear" w:color="auto" w:fill="auto"/>
            <w:noWrap/>
            <w:vAlign w:val="bottom"/>
            <w:hideMark/>
          </w:tcPr>
          <w:p w14:paraId="1A37D23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-54,2</w:t>
            </w:r>
          </w:p>
        </w:tc>
        <w:tc>
          <w:tcPr>
            <w:tcW w:w="771" w:type="pct"/>
            <w:tcBorders>
              <w:top w:val="nil"/>
              <w:left w:val="nil"/>
              <w:bottom w:val="single" w:sz="12" w:space="0" w:color="auto"/>
              <w:right w:val="single" w:sz="12" w:space="0" w:color="auto"/>
            </w:tcBorders>
            <w:shd w:val="clear" w:color="auto" w:fill="auto"/>
            <w:noWrap/>
            <w:vAlign w:val="bottom"/>
            <w:hideMark/>
          </w:tcPr>
          <w:p w14:paraId="6A88449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-37,3</w:t>
            </w:r>
          </w:p>
        </w:tc>
      </w:tr>
      <w:tr w:rsidR="003B2986" w:rsidRPr="00E36734" w14:paraId="7DE42792" w14:textId="77777777" w:rsidTr="003B2986">
        <w:trPr>
          <w:trHeight w:val="300"/>
        </w:trPr>
        <w:tc>
          <w:tcPr>
            <w:tcW w:w="691" w:type="pct"/>
            <w:vMerge w:val="restart"/>
            <w:tcBorders>
              <w:top w:val="nil"/>
              <w:left w:val="single" w:sz="12" w:space="0" w:color="auto"/>
              <w:bottom w:val="single" w:sz="12" w:space="0" w:color="000000"/>
              <w:right w:val="single" w:sz="4" w:space="0" w:color="auto"/>
            </w:tcBorders>
            <w:shd w:val="clear" w:color="auto" w:fill="auto"/>
            <w:vAlign w:val="center"/>
            <w:hideMark/>
          </w:tcPr>
          <w:p w14:paraId="418A136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ΕΤΗ ΛΕΙΤΟΥΡΓΙΑΣ</w:t>
            </w:r>
          </w:p>
        </w:tc>
        <w:tc>
          <w:tcPr>
            <w:tcW w:w="741" w:type="pct"/>
            <w:tcBorders>
              <w:top w:val="nil"/>
              <w:left w:val="nil"/>
              <w:bottom w:val="single" w:sz="4" w:space="0" w:color="auto"/>
              <w:right w:val="single" w:sz="4" w:space="0" w:color="auto"/>
            </w:tcBorders>
            <w:shd w:val="clear" w:color="auto" w:fill="auto"/>
            <w:vAlign w:val="bottom"/>
            <w:hideMark/>
          </w:tcPr>
          <w:p w14:paraId="6917059F"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Έως 5 χρόνια</w:t>
            </w:r>
          </w:p>
        </w:tc>
        <w:tc>
          <w:tcPr>
            <w:tcW w:w="415" w:type="pct"/>
            <w:tcBorders>
              <w:top w:val="nil"/>
              <w:left w:val="nil"/>
              <w:bottom w:val="single" w:sz="4" w:space="0" w:color="auto"/>
              <w:right w:val="single" w:sz="4" w:space="0" w:color="auto"/>
            </w:tcBorders>
            <w:shd w:val="clear" w:color="auto" w:fill="auto"/>
            <w:noWrap/>
            <w:vAlign w:val="bottom"/>
            <w:hideMark/>
          </w:tcPr>
          <w:p w14:paraId="333F8F3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10,9</w:t>
            </w:r>
          </w:p>
        </w:tc>
        <w:tc>
          <w:tcPr>
            <w:tcW w:w="441" w:type="pct"/>
            <w:tcBorders>
              <w:top w:val="nil"/>
              <w:left w:val="nil"/>
              <w:bottom w:val="single" w:sz="4" w:space="0" w:color="auto"/>
              <w:right w:val="single" w:sz="4" w:space="0" w:color="auto"/>
            </w:tcBorders>
            <w:shd w:val="clear" w:color="auto" w:fill="auto"/>
            <w:noWrap/>
            <w:vAlign w:val="bottom"/>
            <w:hideMark/>
          </w:tcPr>
          <w:p w14:paraId="2866CEE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65,5</w:t>
            </w:r>
          </w:p>
        </w:tc>
        <w:tc>
          <w:tcPr>
            <w:tcW w:w="559" w:type="pct"/>
            <w:tcBorders>
              <w:top w:val="nil"/>
              <w:left w:val="nil"/>
              <w:bottom w:val="single" w:sz="4" w:space="0" w:color="auto"/>
              <w:right w:val="single" w:sz="4" w:space="0" w:color="auto"/>
            </w:tcBorders>
            <w:shd w:val="clear" w:color="auto" w:fill="auto"/>
            <w:noWrap/>
            <w:vAlign w:val="bottom"/>
            <w:hideMark/>
          </w:tcPr>
          <w:p w14:paraId="0B1C798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16,4</w:t>
            </w:r>
          </w:p>
        </w:tc>
        <w:tc>
          <w:tcPr>
            <w:tcW w:w="746" w:type="pct"/>
            <w:tcBorders>
              <w:top w:val="nil"/>
              <w:left w:val="nil"/>
              <w:bottom w:val="single" w:sz="4" w:space="0" w:color="auto"/>
              <w:right w:val="single" w:sz="4" w:space="0" w:color="auto"/>
            </w:tcBorders>
            <w:shd w:val="clear" w:color="auto" w:fill="auto"/>
            <w:noWrap/>
            <w:vAlign w:val="bottom"/>
            <w:hideMark/>
          </w:tcPr>
          <w:p w14:paraId="5E6E919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11,3</w:t>
            </w:r>
          </w:p>
        </w:tc>
        <w:tc>
          <w:tcPr>
            <w:tcW w:w="636" w:type="pct"/>
            <w:tcBorders>
              <w:top w:val="nil"/>
              <w:left w:val="nil"/>
              <w:bottom w:val="single" w:sz="4" w:space="0" w:color="auto"/>
              <w:right w:val="single" w:sz="4" w:space="0" w:color="auto"/>
            </w:tcBorders>
            <w:shd w:val="clear" w:color="auto" w:fill="auto"/>
            <w:noWrap/>
            <w:vAlign w:val="bottom"/>
            <w:hideMark/>
          </w:tcPr>
          <w:p w14:paraId="52D5645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-49,4</w:t>
            </w:r>
          </w:p>
        </w:tc>
        <w:tc>
          <w:tcPr>
            <w:tcW w:w="771" w:type="pct"/>
            <w:tcBorders>
              <w:top w:val="nil"/>
              <w:left w:val="nil"/>
              <w:bottom w:val="single" w:sz="4" w:space="0" w:color="auto"/>
              <w:right w:val="single" w:sz="12" w:space="0" w:color="auto"/>
            </w:tcBorders>
            <w:shd w:val="clear" w:color="auto" w:fill="auto"/>
            <w:noWrap/>
            <w:vAlign w:val="bottom"/>
            <w:hideMark/>
          </w:tcPr>
          <w:p w14:paraId="5F7746C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-35,1</w:t>
            </w:r>
          </w:p>
        </w:tc>
      </w:tr>
      <w:tr w:rsidR="003B2986" w:rsidRPr="00E36734" w14:paraId="1217DEB4"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34CF0AF8"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05E49A8C"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5-10 χρόνια</w:t>
            </w:r>
          </w:p>
        </w:tc>
        <w:tc>
          <w:tcPr>
            <w:tcW w:w="415" w:type="pct"/>
            <w:tcBorders>
              <w:top w:val="nil"/>
              <w:left w:val="nil"/>
              <w:bottom w:val="single" w:sz="4" w:space="0" w:color="auto"/>
              <w:right w:val="single" w:sz="4" w:space="0" w:color="auto"/>
            </w:tcBorders>
            <w:shd w:val="clear" w:color="auto" w:fill="auto"/>
            <w:noWrap/>
            <w:vAlign w:val="bottom"/>
            <w:hideMark/>
          </w:tcPr>
          <w:p w14:paraId="2E09A72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16,4</w:t>
            </w:r>
          </w:p>
        </w:tc>
        <w:tc>
          <w:tcPr>
            <w:tcW w:w="441" w:type="pct"/>
            <w:tcBorders>
              <w:top w:val="nil"/>
              <w:left w:val="nil"/>
              <w:bottom w:val="single" w:sz="4" w:space="0" w:color="auto"/>
              <w:right w:val="single" w:sz="4" w:space="0" w:color="auto"/>
            </w:tcBorders>
            <w:shd w:val="clear" w:color="auto" w:fill="auto"/>
            <w:noWrap/>
            <w:vAlign w:val="bottom"/>
            <w:hideMark/>
          </w:tcPr>
          <w:p w14:paraId="435E692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67,2</w:t>
            </w:r>
          </w:p>
        </w:tc>
        <w:tc>
          <w:tcPr>
            <w:tcW w:w="559" w:type="pct"/>
            <w:tcBorders>
              <w:top w:val="nil"/>
              <w:left w:val="nil"/>
              <w:bottom w:val="single" w:sz="4" w:space="0" w:color="auto"/>
              <w:right w:val="single" w:sz="4" w:space="0" w:color="auto"/>
            </w:tcBorders>
            <w:shd w:val="clear" w:color="auto" w:fill="auto"/>
            <w:noWrap/>
            <w:vAlign w:val="bottom"/>
            <w:hideMark/>
          </w:tcPr>
          <w:p w14:paraId="17F4927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16,4</w:t>
            </w:r>
          </w:p>
        </w:tc>
        <w:tc>
          <w:tcPr>
            <w:tcW w:w="746" w:type="pct"/>
            <w:tcBorders>
              <w:top w:val="nil"/>
              <w:left w:val="nil"/>
              <w:bottom w:val="single" w:sz="4" w:space="0" w:color="auto"/>
              <w:right w:val="single" w:sz="4" w:space="0" w:color="auto"/>
            </w:tcBorders>
            <w:shd w:val="clear" w:color="auto" w:fill="auto"/>
            <w:noWrap/>
            <w:vAlign w:val="bottom"/>
            <w:hideMark/>
          </w:tcPr>
          <w:p w14:paraId="1CA30FB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29,4</w:t>
            </w:r>
          </w:p>
        </w:tc>
        <w:tc>
          <w:tcPr>
            <w:tcW w:w="636" w:type="pct"/>
            <w:tcBorders>
              <w:top w:val="nil"/>
              <w:left w:val="nil"/>
              <w:bottom w:val="single" w:sz="4" w:space="0" w:color="auto"/>
              <w:right w:val="single" w:sz="4" w:space="0" w:color="auto"/>
            </w:tcBorders>
            <w:shd w:val="clear" w:color="auto" w:fill="auto"/>
            <w:noWrap/>
            <w:vAlign w:val="bottom"/>
            <w:hideMark/>
          </w:tcPr>
          <w:p w14:paraId="369F5D7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-45,4</w:t>
            </w:r>
          </w:p>
        </w:tc>
        <w:tc>
          <w:tcPr>
            <w:tcW w:w="771" w:type="pct"/>
            <w:tcBorders>
              <w:top w:val="nil"/>
              <w:left w:val="nil"/>
              <w:bottom w:val="single" w:sz="4" w:space="0" w:color="auto"/>
              <w:right w:val="single" w:sz="12" w:space="0" w:color="auto"/>
            </w:tcBorders>
            <w:shd w:val="clear" w:color="auto" w:fill="auto"/>
            <w:noWrap/>
            <w:vAlign w:val="bottom"/>
            <w:hideMark/>
          </w:tcPr>
          <w:p w14:paraId="1AD2551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-27,7</w:t>
            </w:r>
          </w:p>
        </w:tc>
      </w:tr>
      <w:tr w:rsidR="003B2986" w:rsidRPr="00E36734" w14:paraId="1736988B"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38C75677"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524CDA1D"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10-15 χρόνια</w:t>
            </w:r>
          </w:p>
        </w:tc>
        <w:tc>
          <w:tcPr>
            <w:tcW w:w="415" w:type="pct"/>
            <w:tcBorders>
              <w:top w:val="nil"/>
              <w:left w:val="nil"/>
              <w:bottom w:val="single" w:sz="4" w:space="0" w:color="auto"/>
              <w:right w:val="single" w:sz="4" w:space="0" w:color="auto"/>
            </w:tcBorders>
            <w:shd w:val="clear" w:color="auto" w:fill="auto"/>
            <w:noWrap/>
            <w:vAlign w:val="bottom"/>
            <w:hideMark/>
          </w:tcPr>
          <w:p w14:paraId="69585DE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15,7</w:t>
            </w:r>
          </w:p>
        </w:tc>
        <w:tc>
          <w:tcPr>
            <w:tcW w:w="441" w:type="pct"/>
            <w:tcBorders>
              <w:top w:val="nil"/>
              <w:left w:val="nil"/>
              <w:bottom w:val="single" w:sz="4" w:space="0" w:color="auto"/>
              <w:right w:val="single" w:sz="4" w:space="0" w:color="auto"/>
            </w:tcBorders>
            <w:shd w:val="clear" w:color="auto" w:fill="auto"/>
            <w:noWrap/>
            <w:vAlign w:val="bottom"/>
            <w:hideMark/>
          </w:tcPr>
          <w:p w14:paraId="7E1853A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64,3</w:t>
            </w:r>
          </w:p>
        </w:tc>
        <w:tc>
          <w:tcPr>
            <w:tcW w:w="559" w:type="pct"/>
            <w:tcBorders>
              <w:top w:val="nil"/>
              <w:left w:val="nil"/>
              <w:bottom w:val="single" w:sz="4" w:space="0" w:color="auto"/>
              <w:right w:val="single" w:sz="4" w:space="0" w:color="auto"/>
            </w:tcBorders>
            <w:shd w:val="clear" w:color="auto" w:fill="auto"/>
            <w:noWrap/>
            <w:vAlign w:val="bottom"/>
            <w:hideMark/>
          </w:tcPr>
          <w:p w14:paraId="064EA9A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18,6</w:t>
            </w:r>
          </w:p>
        </w:tc>
        <w:tc>
          <w:tcPr>
            <w:tcW w:w="746" w:type="pct"/>
            <w:tcBorders>
              <w:top w:val="nil"/>
              <w:left w:val="nil"/>
              <w:bottom w:val="single" w:sz="4" w:space="0" w:color="auto"/>
              <w:right w:val="single" w:sz="4" w:space="0" w:color="auto"/>
            </w:tcBorders>
            <w:shd w:val="clear" w:color="auto" w:fill="auto"/>
            <w:noWrap/>
            <w:vAlign w:val="bottom"/>
            <w:hideMark/>
          </w:tcPr>
          <w:p w14:paraId="12CF401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32,0</w:t>
            </w:r>
          </w:p>
        </w:tc>
        <w:tc>
          <w:tcPr>
            <w:tcW w:w="636" w:type="pct"/>
            <w:tcBorders>
              <w:top w:val="nil"/>
              <w:left w:val="nil"/>
              <w:bottom w:val="single" w:sz="4" w:space="0" w:color="auto"/>
              <w:right w:val="single" w:sz="4" w:space="0" w:color="auto"/>
            </w:tcBorders>
            <w:shd w:val="clear" w:color="auto" w:fill="auto"/>
            <w:noWrap/>
            <w:vAlign w:val="bottom"/>
            <w:hideMark/>
          </w:tcPr>
          <w:p w14:paraId="33DB673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-42,0</w:t>
            </w:r>
          </w:p>
        </w:tc>
        <w:tc>
          <w:tcPr>
            <w:tcW w:w="771" w:type="pct"/>
            <w:tcBorders>
              <w:top w:val="nil"/>
              <w:left w:val="nil"/>
              <w:bottom w:val="single" w:sz="4" w:space="0" w:color="auto"/>
              <w:right w:val="single" w:sz="12" w:space="0" w:color="auto"/>
            </w:tcBorders>
            <w:shd w:val="clear" w:color="auto" w:fill="auto"/>
            <w:noWrap/>
            <w:vAlign w:val="bottom"/>
            <w:hideMark/>
          </w:tcPr>
          <w:p w14:paraId="031351D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-22,2</w:t>
            </w:r>
          </w:p>
        </w:tc>
      </w:tr>
      <w:tr w:rsidR="003B2986" w:rsidRPr="00E36734" w14:paraId="4E204658" w14:textId="77777777" w:rsidTr="003B2986">
        <w:trPr>
          <w:trHeight w:val="300"/>
        </w:trPr>
        <w:tc>
          <w:tcPr>
            <w:tcW w:w="691" w:type="pct"/>
            <w:vMerge/>
            <w:tcBorders>
              <w:top w:val="nil"/>
              <w:left w:val="single" w:sz="12" w:space="0" w:color="auto"/>
              <w:bottom w:val="single" w:sz="12" w:space="0" w:color="000000"/>
              <w:right w:val="single" w:sz="4" w:space="0" w:color="auto"/>
            </w:tcBorders>
            <w:vAlign w:val="center"/>
            <w:hideMark/>
          </w:tcPr>
          <w:p w14:paraId="2486C944"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12" w:space="0" w:color="auto"/>
              <w:right w:val="single" w:sz="4" w:space="0" w:color="auto"/>
            </w:tcBorders>
            <w:shd w:val="clear" w:color="auto" w:fill="auto"/>
            <w:vAlign w:val="bottom"/>
            <w:hideMark/>
          </w:tcPr>
          <w:p w14:paraId="61E40C18"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15 χρόνια και άνω</w:t>
            </w:r>
          </w:p>
        </w:tc>
        <w:tc>
          <w:tcPr>
            <w:tcW w:w="415" w:type="pct"/>
            <w:tcBorders>
              <w:top w:val="nil"/>
              <w:left w:val="nil"/>
              <w:bottom w:val="single" w:sz="12" w:space="0" w:color="auto"/>
              <w:right w:val="single" w:sz="4" w:space="0" w:color="auto"/>
            </w:tcBorders>
            <w:shd w:val="clear" w:color="auto" w:fill="auto"/>
            <w:noWrap/>
            <w:vAlign w:val="bottom"/>
            <w:hideMark/>
          </w:tcPr>
          <w:p w14:paraId="04B0DF1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10,1</w:t>
            </w:r>
          </w:p>
        </w:tc>
        <w:tc>
          <w:tcPr>
            <w:tcW w:w="441" w:type="pct"/>
            <w:tcBorders>
              <w:top w:val="nil"/>
              <w:left w:val="nil"/>
              <w:bottom w:val="single" w:sz="12" w:space="0" w:color="auto"/>
              <w:right w:val="single" w:sz="4" w:space="0" w:color="auto"/>
            </w:tcBorders>
            <w:shd w:val="clear" w:color="auto" w:fill="auto"/>
            <w:noWrap/>
            <w:vAlign w:val="bottom"/>
            <w:hideMark/>
          </w:tcPr>
          <w:p w14:paraId="106C590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72,1</w:t>
            </w:r>
          </w:p>
        </w:tc>
        <w:tc>
          <w:tcPr>
            <w:tcW w:w="559" w:type="pct"/>
            <w:tcBorders>
              <w:top w:val="nil"/>
              <w:left w:val="nil"/>
              <w:bottom w:val="single" w:sz="12" w:space="0" w:color="auto"/>
              <w:right w:val="single" w:sz="4" w:space="0" w:color="auto"/>
            </w:tcBorders>
            <w:shd w:val="clear" w:color="auto" w:fill="auto"/>
            <w:noWrap/>
            <w:vAlign w:val="bottom"/>
            <w:hideMark/>
          </w:tcPr>
          <w:p w14:paraId="27A0B7F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16,8</w:t>
            </w:r>
          </w:p>
        </w:tc>
        <w:tc>
          <w:tcPr>
            <w:tcW w:w="746" w:type="pct"/>
            <w:tcBorders>
              <w:top w:val="nil"/>
              <w:left w:val="nil"/>
              <w:bottom w:val="single" w:sz="12" w:space="0" w:color="auto"/>
              <w:right w:val="single" w:sz="4" w:space="0" w:color="auto"/>
            </w:tcBorders>
            <w:shd w:val="clear" w:color="auto" w:fill="auto"/>
            <w:noWrap/>
            <w:vAlign w:val="bottom"/>
            <w:hideMark/>
          </w:tcPr>
          <w:p w14:paraId="5BBF393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18,6</w:t>
            </w:r>
          </w:p>
        </w:tc>
        <w:tc>
          <w:tcPr>
            <w:tcW w:w="636" w:type="pct"/>
            <w:tcBorders>
              <w:top w:val="nil"/>
              <w:left w:val="nil"/>
              <w:bottom w:val="single" w:sz="12" w:space="0" w:color="auto"/>
              <w:right w:val="single" w:sz="4" w:space="0" w:color="auto"/>
            </w:tcBorders>
            <w:shd w:val="clear" w:color="auto" w:fill="auto"/>
            <w:noWrap/>
            <w:vAlign w:val="bottom"/>
            <w:hideMark/>
          </w:tcPr>
          <w:p w14:paraId="520266F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-48,5</w:t>
            </w:r>
          </w:p>
        </w:tc>
        <w:tc>
          <w:tcPr>
            <w:tcW w:w="771" w:type="pct"/>
            <w:tcBorders>
              <w:top w:val="nil"/>
              <w:left w:val="nil"/>
              <w:bottom w:val="single" w:sz="12" w:space="0" w:color="auto"/>
              <w:right w:val="single" w:sz="12" w:space="0" w:color="auto"/>
            </w:tcBorders>
            <w:shd w:val="clear" w:color="auto" w:fill="auto"/>
            <w:noWrap/>
            <w:vAlign w:val="bottom"/>
            <w:hideMark/>
          </w:tcPr>
          <w:p w14:paraId="4135F5B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-33,8</w:t>
            </w:r>
          </w:p>
        </w:tc>
      </w:tr>
      <w:tr w:rsidR="003B2986" w:rsidRPr="00E36734" w14:paraId="7C167588" w14:textId="77777777" w:rsidTr="003B2986">
        <w:trPr>
          <w:trHeight w:val="300"/>
        </w:trPr>
        <w:tc>
          <w:tcPr>
            <w:tcW w:w="691" w:type="pct"/>
            <w:vMerge w:val="restart"/>
            <w:tcBorders>
              <w:top w:val="nil"/>
              <w:left w:val="single" w:sz="12" w:space="0" w:color="auto"/>
              <w:bottom w:val="single" w:sz="12" w:space="0" w:color="000000"/>
              <w:right w:val="single" w:sz="4" w:space="0" w:color="auto"/>
            </w:tcBorders>
            <w:shd w:val="clear" w:color="auto" w:fill="auto"/>
            <w:vAlign w:val="center"/>
            <w:hideMark/>
          </w:tcPr>
          <w:p w14:paraId="4737882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ΠΕΡΙΟΧΗ</w:t>
            </w:r>
          </w:p>
        </w:tc>
        <w:tc>
          <w:tcPr>
            <w:tcW w:w="741" w:type="pct"/>
            <w:tcBorders>
              <w:top w:val="nil"/>
              <w:left w:val="nil"/>
              <w:bottom w:val="single" w:sz="4" w:space="0" w:color="auto"/>
              <w:right w:val="single" w:sz="4" w:space="0" w:color="auto"/>
            </w:tcBorders>
            <w:shd w:val="clear" w:color="auto" w:fill="auto"/>
            <w:vAlign w:val="bottom"/>
            <w:hideMark/>
          </w:tcPr>
          <w:p w14:paraId="386EB5AE"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Αττική</w:t>
            </w:r>
          </w:p>
        </w:tc>
        <w:tc>
          <w:tcPr>
            <w:tcW w:w="415" w:type="pct"/>
            <w:tcBorders>
              <w:top w:val="nil"/>
              <w:left w:val="nil"/>
              <w:bottom w:val="single" w:sz="4" w:space="0" w:color="auto"/>
              <w:right w:val="single" w:sz="4" w:space="0" w:color="auto"/>
            </w:tcBorders>
            <w:shd w:val="clear" w:color="auto" w:fill="auto"/>
            <w:noWrap/>
            <w:vAlign w:val="bottom"/>
            <w:hideMark/>
          </w:tcPr>
          <w:p w14:paraId="0A3C9D9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9,6</w:t>
            </w:r>
          </w:p>
        </w:tc>
        <w:tc>
          <w:tcPr>
            <w:tcW w:w="441" w:type="pct"/>
            <w:tcBorders>
              <w:top w:val="nil"/>
              <w:left w:val="nil"/>
              <w:bottom w:val="single" w:sz="4" w:space="0" w:color="auto"/>
              <w:right w:val="single" w:sz="4" w:space="0" w:color="auto"/>
            </w:tcBorders>
            <w:shd w:val="clear" w:color="auto" w:fill="auto"/>
            <w:noWrap/>
            <w:vAlign w:val="bottom"/>
            <w:hideMark/>
          </w:tcPr>
          <w:p w14:paraId="527596D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64,8</w:t>
            </w:r>
          </w:p>
        </w:tc>
        <w:tc>
          <w:tcPr>
            <w:tcW w:w="559" w:type="pct"/>
            <w:tcBorders>
              <w:top w:val="nil"/>
              <w:left w:val="nil"/>
              <w:bottom w:val="single" w:sz="4" w:space="0" w:color="auto"/>
              <w:right w:val="double" w:sz="6" w:space="0" w:color="auto"/>
            </w:tcBorders>
            <w:shd w:val="clear" w:color="auto" w:fill="auto"/>
            <w:noWrap/>
            <w:vAlign w:val="bottom"/>
            <w:hideMark/>
          </w:tcPr>
          <w:p w14:paraId="0428CE2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23,5</w:t>
            </w:r>
          </w:p>
        </w:tc>
        <w:tc>
          <w:tcPr>
            <w:tcW w:w="746" w:type="pct"/>
            <w:tcBorders>
              <w:top w:val="nil"/>
              <w:left w:val="nil"/>
              <w:bottom w:val="single" w:sz="4" w:space="0" w:color="auto"/>
              <w:right w:val="single" w:sz="4" w:space="0" w:color="auto"/>
            </w:tcBorders>
            <w:shd w:val="clear" w:color="auto" w:fill="auto"/>
            <w:noWrap/>
            <w:vAlign w:val="bottom"/>
            <w:hideMark/>
          </w:tcPr>
          <w:p w14:paraId="2C78DD3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23,5</w:t>
            </w:r>
          </w:p>
        </w:tc>
        <w:tc>
          <w:tcPr>
            <w:tcW w:w="636" w:type="pct"/>
            <w:tcBorders>
              <w:top w:val="nil"/>
              <w:left w:val="nil"/>
              <w:bottom w:val="single" w:sz="4" w:space="0" w:color="auto"/>
              <w:right w:val="single" w:sz="4" w:space="0" w:color="auto"/>
            </w:tcBorders>
            <w:shd w:val="clear" w:color="auto" w:fill="auto"/>
            <w:noWrap/>
            <w:vAlign w:val="bottom"/>
            <w:hideMark/>
          </w:tcPr>
          <w:p w14:paraId="33CC8D2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-45,0</w:t>
            </w:r>
          </w:p>
        </w:tc>
        <w:tc>
          <w:tcPr>
            <w:tcW w:w="771" w:type="pct"/>
            <w:tcBorders>
              <w:top w:val="nil"/>
              <w:left w:val="nil"/>
              <w:bottom w:val="single" w:sz="4" w:space="0" w:color="auto"/>
              <w:right w:val="single" w:sz="12" w:space="0" w:color="auto"/>
            </w:tcBorders>
            <w:shd w:val="clear" w:color="auto" w:fill="auto"/>
            <w:noWrap/>
            <w:vAlign w:val="bottom"/>
            <w:hideMark/>
          </w:tcPr>
          <w:p w14:paraId="494F239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-27,4</w:t>
            </w:r>
          </w:p>
        </w:tc>
      </w:tr>
      <w:tr w:rsidR="003B2986" w:rsidRPr="00E36734" w14:paraId="48F16750" w14:textId="77777777" w:rsidTr="003B2986">
        <w:trPr>
          <w:trHeight w:val="576"/>
        </w:trPr>
        <w:tc>
          <w:tcPr>
            <w:tcW w:w="691" w:type="pct"/>
            <w:vMerge/>
            <w:tcBorders>
              <w:top w:val="nil"/>
              <w:left w:val="single" w:sz="12" w:space="0" w:color="auto"/>
              <w:bottom w:val="single" w:sz="12" w:space="0" w:color="000000"/>
              <w:right w:val="single" w:sz="4" w:space="0" w:color="auto"/>
            </w:tcBorders>
            <w:vAlign w:val="center"/>
            <w:hideMark/>
          </w:tcPr>
          <w:p w14:paraId="04A7DC65"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36BEB714"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Νησιά Αιγαίου &amp; Κρήτη</w:t>
            </w:r>
          </w:p>
        </w:tc>
        <w:tc>
          <w:tcPr>
            <w:tcW w:w="415" w:type="pct"/>
            <w:tcBorders>
              <w:top w:val="nil"/>
              <w:left w:val="nil"/>
              <w:bottom w:val="single" w:sz="4" w:space="0" w:color="auto"/>
              <w:right w:val="single" w:sz="4" w:space="0" w:color="auto"/>
            </w:tcBorders>
            <w:shd w:val="clear" w:color="auto" w:fill="auto"/>
            <w:noWrap/>
            <w:vAlign w:val="bottom"/>
            <w:hideMark/>
          </w:tcPr>
          <w:p w14:paraId="4D82506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16,3</w:t>
            </w:r>
          </w:p>
        </w:tc>
        <w:tc>
          <w:tcPr>
            <w:tcW w:w="441" w:type="pct"/>
            <w:tcBorders>
              <w:top w:val="nil"/>
              <w:left w:val="nil"/>
              <w:bottom w:val="single" w:sz="4" w:space="0" w:color="auto"/>
              <w:right w:val="single" w:sz="4" w:space="0" w:color="auto"/>
            </w:tcBorders>
            <w:shd w:val="clear" w:color="auto" w:fill="auto"/>
            <w:noWrap/>
            <w:vAlign w:val="bottom"/>
            <w:hideMark/>
          </w:tcPr>
          <w:p w14:paraId="1B5487D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76,9</w:t>
            </w:r>
          </w:p>
        </w:tc>
        <w:tc>
          <w:tcPr>
            <w:tcW w:w="559" w:type="pct"/>
            <w:tcBorders>
              <w:top w:val="nil"/>
              <w:left w:val="nil"/>
              <w:bottom w:val="single" w:sz="4" w:space="0" w:color="auto"/>
              <w:right w:val="double" w:sz="6" w:space="0" w:color="auto"/>
            </w:tcBorders>
            <w:shd w:val="clear" w:color="auto" w:fill="auto"/>
            <w:noWrap/>
            <w:vAlign w:val="bottom"/>
            <w:hideMark/>
          </w:tcPr>
          <w:p w14:paraId="14EB406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5,8</w:t>
            </w:r>
          </w:p>
        </w:tc>
        <w:tc>
          <w:tcPr>
            <w:tcW w:w="746" w:type="pct"/>
            <w:tcBorders>
              <w:top w:val="nil"/>
              <w:left w:val="nil"/>
              <w:bottom w:val="single" w:sz="4" w:space="0" w:color="auto"/>
              <w:right w:val="single" w:sz="4" w:space="0" w:color="auto"/>
            </w:tcBorders>
            <w:shd w:val="clear" w:color="auto" w:fill="auto"/>
            <w:noWrap/>
            <w:vAlign w:val="bottom"/>
            <w:hideMark/>
          </w:tcPr>
          <w:p w14:paraId="20139E3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14,5</w:t>
            </w:r>
          </w:p>
        </w:tc>
        <w:tc>
          <w:tcPr>
            <w:tcW w:w="636" w:type="pct"/>
            <w:tcBorders>
              <w:top w:val="nil"/>
              <w:left w:val="nil"/>
              <w:bottom w:val="single" w:sz="4" w:space="0" w:color="auto"/>
              <w:right w:val="single" w:sz="4" w:space="0" w:color="auto"/>
            </w:tcBorders>
            <w:shd w:val="clear" w:color="auto" w:fill="auto"/>
            <w:noWrap/>
            <w:vAlign w:val="bottom"/>
            <w:hideMark/>
          </w:tcPr>
          <w:p w14:paraId="2BA89CA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-51,8</w:t>
            </w:r>
          </w:p>
        </w:tc>
        <w:tc>
          <w:tcPr>
            <w:tcW w:w="771" w:type="pct"/>
            <w:tcBorders>
              <w:top w:val="nil"/>
              <w:left w:val="nil"/>
              <w:bottom w:val="single" w:sz="4" w:space="0" w:color="auto"/>
              <w:right w:val="single" w:sz="12" w:space="0" w:color="auto"/>
            </w:tcBorders>
            <w:shd w:val="clear" w:color="auto" w:fill="auto"/>
            <w:noWrap/>
            <w:vAlign w:val="bottom"/>
            <w:hideMark/>
          </w:tcPr>
          <w:p w14:paraId="7E8ED79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-39,9</w:t>
            </w:r>
          </w:p>
        </w:tc>
      </w:tr>
      <w:tr w:rsidR="003B2986" w:rsidRPr="00E36734" w14:paraId="1D347587"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70154F63"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center"/>
            <w:hideMark/>
          </w:tcPr>
          <w:p w14:paraId="7C93754F" w14:textId="77777777" w:rsidR="003B2986" w:rsidRPr="00E36734" w:rsidRDefault="003B2986" w:rsidP="003B2986">
            <w:pPr>
              <w:spacing w:after="0" w:line="240" w:lineRule="auto"/>
              <w:jc w:val="both"/>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Βόρεια Ελλάδα</w:t>
            </w:r>
          </w:p>
        </w:tc>
        <w:tc>
          <w:tcPr>
            <w:tcW w:w="415" w:type="pct"/>
            <w:tcBorders>
              <w:top w:val="nil"/>
              <w:left w:val="nil"/>
              <w:bottom w:val="single" w:sz="4" w:space="0" w:color="auto"/>
              <w:right w:val="single" w:sz="4" w:space="0" w:color="auto"/>
            </w:tcBorders>
            <w:shd w:val="clear" w:color="auto" w:fill="auto"/>
            <w:noWrap/>
            <w:vAlign w:val="center"/>
            <w:hideMark/>
          </w:tcPr>
          <w:p w14:paraId="40084AB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12,5</w:t>
            </w:r>
          </w:p>
        </w:tc>
        <w:tc>
          <w:tcPr>
            <w:tcW w:w="441" w:type="pct"/>
            <w:tcBorders>
              <w:top w:val="nil"/>
              <w:left w:val="nil"/>
              <w:bottom w:val="single" w:sz="4" w:space="0" w:color="auto"/>
              <w:right w:val="single" w:sz="4" w:space="0" w:color="auto"/>
            </w:tcBorders>
            <w:shd w:val="clear" w:color="auto" w:fill="auto"/>
            <w:noWrap/>
            <w:vAlign w:val="center"/>
            <w:hideMark/>
          </w:tcPr>
          <w:p w14:paraId="1927216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69,4</w:t>
            </w:r>
          </w:p>
        </w:tc>
        <w:tc>
          <w:tcPr>
            <w:tcW w:w="559" w:type="pct"/>
            <w:tcBorders>
              <w:top w:val="nil"/>
              <w:left w:val="nil"/>
              <w:bottom w:val="single" w:sz="4" w:space="0" w:color="auto"/>
              <w:right w:val="double" w:sz="6" w:space="0" w:color="auto"/>
            </w:tcBorders>
            <w:shd w:val="clear" w:color="auto" w:fill="auto"/>
            <w:noWrap/>
            <w:vAlign w:val="center"/>
            <w:hideMark/>
          </w:tcPr>
          <w:p w14:paraId="0D3A2F5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16,7</w:t>
            </w:r>
          </w:p>
        </w:tc>
        <w:tc>
          <w:tcPr>
            <w:tcW w:w="746" w:type="pct"/>
            <w:tcBorders>
              <w:top w:val="nil"/>
              <w:left w:val="nil"/>
              <w:bottom w:val="single" w:sz="4" w:space="0" w:color="auto"/>
              <w:right w:val="single" w:sz="4" w:space="0" w:color="auto"/>
            </w:tcBorders>
            <w:shd w:val="clear" w:color="auto" w:fill="auto"/>
            <w:noWrap/>
            <w:vAlign w:val="bottom"/>
            <w:hideMark/>
          </w:tcPr>
          <w:p w14:paraId="0C37B15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20,0</w:t>
            </w:r>
          </w:p>
        </w:tc>
        <w:tc>
          <w:tcPr>
            <w:tcW w:w="636" w:type="pct"/>
            <w:tcBorders>
              <w:top w:val="nil"/>
              <w:left w:val="nil"/>
              <w:bottom w:val="single" w:sz="4" w:space="0" w:color="auto"/>
              <w:right w:val="single" w:sz="4" w:space="0" w:color="auto"/>
            </w:tcBorders>
            <w:shd w:val="clear" w:color="auto" w:fill="auto"/>
            <w:noWrap/>
            <w:vAlign w:val="bottom"/>
            <w:hideMark/>
          </w:tcPr>
          <w:p w14:paraId="4F9A428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-48,5</w:t>
            </w:r>
          </w:p>
        </w:tc>
        <w:tc>
          <w:tcPr>
            <w:tcW w:w="771" w:type="pct"/>
            <w:tcBorders>
              <w:top w:val="nil"/>
              <w:left w:val="nil"/>
              <w:bottom w:val="single" w:sz="4" w:space="0" w:color="auto"/>
              <w:right w:val="single" w:sz="12" w:space="0" w:color="auto"/>
            </w:tcBorders>
            <w:shd w:val="clear" w:color="auto" w:fill="auto"/>
            <w:noWrap/>
            <w:vAlign w:val="bottom"/>
            <w:hideMark/>
          </w:tcPr>
          <w:p w14:paraId="6BF7D1B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-32,7</w:t>
            </w:r>
          </w:p>
        </w:tc>
      </w:tr>
      <w:tr w:rsidR="003B2986" w:rsidRPr="00E36734" w14:paraId="23A0ABC9" w14:textId="77777777" w:rsidTr="003B2986">
        <w:trPr>
          <w:trHeight w:val="300"/>
        </w:trPr>
        <w:tc>
          <w:tcPr>
            <w:tcW w:w="691" w:type="pct"/>
            <w:vMerge/>
            <w:tcBorders>
              <w:top w:val="nil"/>
              <w:left w:val="single" w:sz="12" w:space="0" w:color="auto"/>
              <w:bottom w:val="single" w:sz="12" w:space="0" w:color="000000"/>
              <w:right w:val="single" w:sz="4" w:space="0" w:color="auto"/>
            </w:tcBorders>
            <w:vAlign w:val="center"/>
            <w:hideMark/>
          </w:tcPr>
          <w:p w14:paraId="008D8A33"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12" w:space="0" w:color="auto"/>
              <w:right w:val="single" w:sz="4" w:space="0" w:color="auto"/>
            </w:tcBorders>
            <w:shd w:val="clear" w:color="auto" w:fill="auto"/>
            <w:vAlign w:val="center"/>
            <w:hideMark/>
          </w:tcPr>
          <w:p w14:paraId="50FB64F3" w14:textId="77777777" w:rsidR="003B2986" w:rsidRPr="00E36734" w:rsidRDefault="003B2986" w:rsidP="003B2986">
            <w:pPr>
              <w:spacing w:after="0" w:line="240" w:lineRule="auto"/>
              <w:jc w:val="both"/>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Κεντρική Ελλάδα</w:t>
            </w:r>
          </w:p>
        </w:tc>
        <w:tc>
          <w:tcPr>
            <w:tcW w:w="415" w:type="pct"/>
            <w:tcBorders>
              <w:top w:val="nil"/>
              <w:left w:val="nil"/>
              <w:bottom w:val="single" w:sz="12" w:space="0" w:color="auto"/>
              <w:right w:val="single" w:sz="4" w:space="0" w:color="auto"/>
            </w:tcBorders>
            <w:shd w:val="clear" w:color="auto" w:fill="auto"/>
            <w:noWrap/>
            <w:vAlign w:val="center"/>
            <w:hideMark/>
          </w:tcPr>
          <w:p w14:paraId="575C8E6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9,0</w:t>
            </w:r>
          </w:p>
        </w:tc>
        <w:tc>
          <w:tcPr>
            <w:tcW w:w="441" w:type="pct"/>
            <w:tcBorders>
              <w:top w:val="nil"/>
              <w:left w:val="nil"/>
              <w:bottom w:val="single" w:sz="12" w:space="0" w:color="auto"/>
              <w:right w:val="single" w:sz="4" w:space="0" w:color="auto"/>
            </w:tcBorders>
            <w:shd w:val="clear" w:color="auto" w:fill="auto"/>
            <w:noWrap/>
            <w:vAlign w:val="center"/>
            <w:hideMark/>
          </w:tcPr>
          <w:p w14:paraId="14CEE4D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77,7</w:t>
            </w:r>
          </w:p>
        </w:tc>
        <w:tc>
          <w:tcPr>
            <w:tcW w:w="559" w:type="pct"/>
            <w:tcBorders>
              <w:top w:val="nil"/>
              <w:left w:val="nil"/>
              <w:bottom w:val="single" w:sz="12" w:space="0" w:color="auto"/>
              <w:right w:val="double" w:sz="6" w:space="0" w:color="auto"/>
            </w:tcBorders>
            <w:shd w:val="clear" w:color="auto" w:fill="auto"/>
            <w:noWrap/>
            <w:vAlign w:val="center"/>
            <w:hideMark/>
          </w:tcPr>
          <w:p w14:paraId="602E28D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12,8</w:t>
            </w:r>
          </w:p>
        </w:tc>
        <w:tc>
          <w:tcPr>
            <w:tcW w:w="746" w:type="pct"/>
            <w:tcBorders>
              <w:top w:val="nil"/>
              <w:left w:val="nil"/>
              <w:bottom w:val="single" w:sz="12" w:space="0" w:color="auto"/>
              <w:right w:val="single" w:sz="4" w:space="0" w:color="auto"/>
            </w:tcBorders>
            <w:shd w:val="clear" w:color="auto" w:fill="auto"/>
            <w:noWrap/>
            <w:vAlign w:val="bottom"/>
            <w:hideMark/>
          </w:tcPr>
          <w:p w14:paraId="65E2331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25,0</w:t>
            </w:r>
          </w:p>
        </w:tc>
        <w:tc>
          <w:tcPr>
            <w:tcW w:w="636" w:type="pct"/>
            <w:tcBorders>
              <w:top w:val="nil"/>
              <w:left w:val="nil"/>
              <w:bottom w:val="single" w:sz="12" w:space="0" w:color="auto"/>
              <w:right w:val="single" w:sz="4" w:space="0" w:color="auto"/>
            </w:tcBorders>
            <w:shd w:val="clear" w:color="auto" w:fill="auto"/>
            <w:noWrap/>
            <w:vAlign w:val="bottom"/>
            <w:hideMark/>
          </w:tcPr>
          <w:p w14:paraId="31CF223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-48,5</w:t>
            </w:r>
          </w:p>
        </w:tc>
        <w:tc>
          <w:tcPr>
            <w:tcW w:w="771" w:type="pct"/>
            <w:tcBorders>
              <w:top w:val="nil"/>
              <w:left w:val="nil"/>
              <w:bottom w:val="single" w:sz="12" w:space="0" w:color="auto"/>
              <w:right w:val="single" w:sz="12" w:space="0" w:color="auto"/>
            </w:tcBorders>
            <w:shd w:val="clear" w:color="auto" w:fill="auto"/>
            <w:noWrap/>
            <w:vAlign w:val="bottom"/>
            <w:hideMark/>
          </w:tcPr>
          <w:p w14:paraId="72618E6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-35,7</w:t>
            </w:r>
          </w:p>
        </w:tc>
      </w:tr>
      <w:tr w:rsidR="003B2986" w:rsidRPr="00E36734" w14:paraId="15785C20" w14:textId="77777777" w:rsidTr="003B2986">
        <w:trPr>
          <w:trHeight w:val="300"/>
        </w:trPr>
        <w:tc>
          <w:tcPr>
            <w:tcW w:w="691" w:type="pct"/>
            <w:vMerge w:val="restart"/>
            <w:tcBorders>
              <w:top w:val="nil"/>
              <w:left w:val="single" w:sz="12" w:space="0" w:color="auto"/>
              <w:bottom w:val="single" w:sz="12" w:space="0" w:color="000000"/>
              <w:right w:val="single" w:sz="4" w:space="0" w:color="auto"/>
            </w:tcBorders>
            <w:shd w:val="clear" w:color="auto" w:fill="auto"/>
            <w:vAlign w:val="center"/>
            <w:hideMark/>
          </w:tcPr>
          <w:p w14:paraId="65EAF17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ΕΤΗΣΙΟΣ ΤΖΙΡΟΣ</w:t>
            </w:r>
          </w:p>
        </w:tc>
        <w:tc>
          <w:tcPr>
            <w:tcW w:w="741" w:type="pct"/>
            <w:tcBorders>
              <w:top w:val="nil"/>
              <w:left w:val="nil"/>
              <w:bottom w:val="single" w:sz="4" w:space="0" w:color="auto"/>
              <w:right w:val="single" w:sz="4" w:space="0" w:color="auto"/>
            </w:tcBorders>
            <w:shd w:val="clear" w:color="auto" w:fill="auto"/>
            <w:vAlign w:val="center"/>
            <w:hideMark/>
          </w:tcPr>
          <w:p w14:paraId="013F66D0" w14:textId="77777777" w:rsidR="003B2986" w:rsidRPr="00E36734" w:rsidRDefault="003B2986" w:rsidP="003B2986">
            <w:pPr>
              <w:spacing w:after="0" w:line="240" w:lineRule="auto"/>
              <w:jc w:val="both"/>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Έως 50.000</w:t>
            </w:r>
          </w:p>
        </w:tc>
        <w:tc>
          <w:tcPr>
            <w:tcW w:w="415" w:type="pct"/>
            <w:tcBorders>
              <w:top w:val="nil"/>
              <w:left w:val="nil"/>
              <w:bottom w:val="single" w:sz="4" w:space="0" w:color="auto"/>
              <w:right w:val="single" w:sz="4" w:space="0" w:color="auto"/>
            </w:tcBorders>
            <w:shd w:val="clear" w:color="auto" w:fill="auto"/>
            <w:noWrap/>
            <w:vAlign w:val="center"/>
            <w:hideMark/>
          </w:tcPr>
          <w:p w14:paraId="7857EC9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7,8</w:t>
            </w:r>
          </w:p>
        </w:tc>
        <w:tc>
          <w:tcPr>
            <w:tcW w:w="441" w:type="pct"/>
            <w:tcBorders>
              <w:top w:val="nil"/>
              <w:left w:val="nil"/>
              <w:bottom w:val="single" w:sz="4" w:space="0" w:color="auto"/>
              <w:right w:val="single" w:sz="4" w:space="0" w:color="auto"/>
            </w:tcBorders>
            <w:shd w:val="clear" w:color="auto" w:fill="auto"/>
            <w:noWrap/>
            <w:vAlign w:val="center"/>
            <w:hideMark/>
          </w:tcPr>
          <w:p w14:paraId="601C2B1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78,2</w:t>
            </w:r>
          </w:p>
        </w:tc>
        <w:tc>
          <w:tcPr>
            <w:tcW w:w="559" w:type="pct"/>
            <w:tcBorders>
              <w:top w:val="nil"/>
              <w:left w:val="nil"/>
              <w:bottom w:val="single" w:sz="4" w:space="0" w:color="auto"/>
              <w:right w:val="double" w:sz="6" w:space="0" w:color="auto"/>
            </w:tcBorders>
            <w:shd w:val="clear" w:color="auto" w:fill="auto"/>
            <w:noWrap/>
            <w:vAlign w:val="center"/>
            <w:hideMark/>
          </w:tcPr>
          <w:p w14:paraId="33AD9BE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12,6</w:t>
            </w:r>
          </w:p>
        </w:tc>
        <w:tc>
          <w:tcPr>
            <w:tcW w:w="746" w:type="pct"/>
            <w:tcBorders>
              <w:top w:val="nil"/>
              <w:left w:val="nil"/>
              <w:bottom w:val="single" w:sz="4" w:space="0" w:color="auto"/>
              <w:right w:val="single" w:sz="4" w:space="0" w:color="auto"/>
            </w:tcBorders>
            <w:shd w:val="clear" w:color="auto" w:fill="auto"/>
            <w:noWrap/>
            <w:vAlign w:val="bottom"/>
            <w:hideMark/>
          </w:tcPr>
          <w:p w14:paraId="264377A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32,0</w:t>
            </w:r>
          </w:p>
        </w:tc>
        <w:tc>
          <w:tcPr>
            <w:tcW w:w="636" w:type="pct"/>
            <w:tcBorders>
              <w:top w:val="nil"/>
              <w:left w:val="nil"/>
              <w:bottom w:val="single" w:sz="4" w:space="0" w:color="auto"/>
              <w:right w:val="single" w:sz="4" w:space="0" w:color="auto"/>
            </w:tcBorders>
            <w:shd w:val="clear" w:color="auto" w:fill="auto"/>
            <w:noWrap/>
            <w:vAlign w:val="bottom"/>
            <w:hideMark/>
          </w:tcPr>
          <w:p w14:paraId="055280D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-56,0</w:t>
            </w:r>
          </w:p>
        </w:tc>
        <w:tc>
          <w:tcPr>
            <w:tcW w:w="771" w:type="pct"/>
            <w:tcBorders>
              <w:top w:val="nil"/>
              <w:left w:val="nil"/>
              <w:bottom w:val="single" w:sz="4" w:space="0" w:color="auto"/>
              <w:right w:val="single" w:sz="12" w:space="0" w:color="auto"/>
            </w:tcBorders>
            <w:shd w:val="clear" w:color="auto" w:fill="auto"/>
            <w:noWrap/>
            <w:vAlign w:val="bottom"/>
            <w:hideMark/>
          </w:tcPr>
          <w:p w14:paraId="49246D0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-42,2</w:t>
            </w:r>
          </w:p>
        </w:tc>
      </w:tr>
      <w:tr w:rsidR="003B2986" w:rsidRPr="00E36734" w14:paraId="1936C817"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4572E748"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center"/>
            <w:hideMark/>
          </w:tcPr>
          <w:p w14:paraId="641F7CB6" w14:textId="77777777" w:rsidR="003B2986" w:rsidRPr="00E36734" w:rsidRDefault="003B2986" w:rsidP="003B2986">
            <w:pPr>
              <w:spacing w:after="0" w:line="240" w:lineRule="auto"/>
              <w:jc w:val="both"/>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50.000 - 100.000</w:t>
            </w:r>
          </w:p>
        </w:tc>
        <w:tc>
          <w:tcPr>
            <w:tcW w:w="415" w:type="pct"/>
            <w:tcBorders>
              <w:top w:val="nil"/>
              <w:left w:val="nil"/>
              <w:bottom w:val="single" w:sz="4" w:space="0" w:color="auto"/>
              <w:right w:val="single" w:sz="4" w:space="0" w:color="auto"/>
            </w:tcBorders>
            <w:shd w:val="clear" w:color="auto" w:fill="auto"/>
            <w:noWrap/>
            <w:vAlign w:val="center"/>
            <w:hideMark/>
          </w:tcPr>
          <w:p w14:paraId="27003DD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11,4</w:t>
            </w:r>
          </w:p>
        </w:tc>
        <w:tc>
          <w:tcPr>
            <w:tcW w:w="441" w:type="pct"/>
            <w:tcBorders>
              <w:top w:val="nil"/>
              <w:left w:val="nil"/>
              <w:bottom w:val="single" w:sz="4" w:space="0" w:color="auto"/>
              <w:right w:val="single" w:sz="4" w:space="0" w:color="auto"/>
            </w:tcBorders>
            <w:shd w:val="clear" w:color="auto" w:fill="auto"/>
            <w:noWrap/>
            <w:vAlign w:val="center"/>
            <w:hideMark/>
          </w:tcPr>
          <w:p w14:paraId="4F5228C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70,5</w:t>
            </w:r>
          </w:p>
        </w:tc>
        <w:tc>
          <w:tcPr>
            <w:tcW w:w="559" w:type="pct"/>
            <w:tcBorders>
              <w:top w:val="nil"/>
              <w:left w:val="nil"/>
              <w:bottom w:val="single" w:sz="4" w:space="0" w:color="auto"/>
              <w:right w:val="double" w:sz="6" w:space="0" w:color="auto"/>
            </w:tcBorders>
            <w:shd w:val="clear" w:color="auto" w:fill="auto"/>
            <w:noWrap/>
            <w:vAlign w:val="center"/>
            <w:hideMark/>
          </w:tcPr>
          <w:p w14:paraId="1DF2CD1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16,8</w:t>
            </w:r>
          </w:p>
        </w:tc>
        <w:tc>
          <w:tcPr>
            <w:tcW w:w="746" w:type="pct"/>
            <w:tcBorders>
              <w:top w:val="nil"/>
              <w:left w:val="nil"/>
              <w:bottom w:val="single" w:sz="4" w:space="0" w:color="auto"/>
              <w:right w:val="single" w:sz="4" w:space="0" w:color="auto"/>
            </w:tcBorders>
            <w:shd w:val="clear" w:color="auto" w:fill="auto"/>
            <w:noWrap/>
            <w:vAlign w:val="bottom"/>
            <w:hideMark/>
          </w:tcPr>
          <w:p w14:paraId="06B35FD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16,4</w:t>
            </w:r>
          </w:p>
        </w:tc>
        <w:tc>
          <w:tcPr>
            <w:tcW w:w="636" w:type="pct"/>
            <w:tcBorders>
              <w:top w:val="nil"/>
              <w:left w:val="nil"/>
              <w:bottom w:val="single" w:sz="4" w:space="0" w:color="auto"/>
              <w:right w:val="single" w:sz="4" w:space="0" w:color="auto"/>
            </w:tcBorders>
            <w:shd w:val="clear" w:color="auto" w:fill="auto"/>
            <w:noWrap/>
            <w:vAlign w:val="bottom"/>
            <w:hideMark/>
          </w:tcPr>
          <w:p w14:paraId="2A70D5E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-42,2</w:t>
            </w:r>
          </w:p>
        </w:tc>
        <w:tc>
          <w:tcPr>
            <w:tcW w:w="771" w:type="pct"/>
            <w:tcBorders>
              <w:top w:val="nil"/>
              <w:left w:val="nil"/>
              <w:bottom w:val="single" w:sz="4" w:space="0" w:color="auto"/>
              <w:right w:val="single" w:sz="12" w:space="0" w:color="auto"/>
            </w:tcBorders>
            <w:shd w:val="clear" w:color="auto" w:fill="auto"/>
            <w:noWrap/>
            <w:vAlign w:val="bottom"/>
            <w:hideMark/>
          </w:tcPr>
          <w:p w14:paraId="45CB097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-29,4</w:t>
            </w:r>
          </w:p>
        </w:tc>
      </w:tr>
      <w:tr w:rsidR="003B2986" w:rsidRPr="00E36734" w14:paraId="72265665"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65A6D420"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4C24AB30"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100.000 - 300.000</w:t>
            </w:r>
          </w:p>
        </w:tc>
        <w:tc>
          <w:tcPr>
            <w:tcW w:w="415" w:type="pct"/>
            <w:tcBorders>
              <w:top w:val="nil"/>
              <w:left w:val="nil"/>
              <w:bottom w:val="single" w:sz="4" w:space="0" w:color="auto"/>
              <w:right w:val="single" w:sz="4" w:space="0" w:color="auto"/>
            </w:tcBorders>
            <w:shd w:val="clear" w:color="auto" w:fill="auto"/>
            <w:noWrap/>
            <w:vAlign w:val="bottom"/>
            <w:hideMark/>
          </w:tcPr>
          <w:p w14:paraId="35C828E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8,7</w:t>
            </w:r>
          </w:p>
        </w:tc>
        <w:tc>
          <w:tcPr>
            <w:tcW w:w="441" w:type="pct"/>
            <w:tcBorders>
              <w:top w:val="nil"/>
              <w:left w:val="nil"/>
              <w:bottom w:val="single" w:sz="4" w:space="0" w:color="auto"/>
              <w:right w:val="single" w:sz="4" w:space="0" w:color="auto"/>
            </w:tcBorders>
            <w:shd w:val="clear" w:color="auto" w:fill="auto"/>
            <w:noWrap/>
            <w:vAlign w:val="bottom"/>
            <w:hideMark/>
          </w:tcPr>
          <w:p w14:paraId="5AD6F9C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73,9</w:t>
            </w:r>
          </w:p>
        </w:tc>
        <w:tc>
          <w:tcPr>
            <w:tcW w:w="559" w:type="pct"/>
            <w:tcBorders>
              <w:top w:val="nil"/>
              <w:left w:val="nil"/>
              <w:bottom w:val="single" w:sz="4" w:space="0" w:color="auto"/>
              <w:right w:val="double" w:sz="6" w:space="0" w:color="auto"/>
            </w:tcBorders>
            <w:shd w:val="clear" w:color="auto" w:fill="auto"/>
            <w:noWrap/>
            <w:vAlign w:val="bottom"/>
            <w:hideMark/>
          </w:tcPr>
          <w:p w14:paraId="0439B79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16,5</w:t>
            </w:r>
          </w:p>
        </w:tc>
        <w:tc>
          <w:tcPr>
            <w:tcW w:w="746" w:type="pct"/>
            <w:tcBorders>
              <w:top w:val="nil"/>
              <w:left w:val="nil"/>
              <w:bottom w:val="single" w:sz="4" w:space="0" w:color="auto"/>
              <w:right w:val="single" w:sz="4" w:space="0" w:color="auto"/>
            </w:tcBorders>
            <w:shd w:val="clear" w:color="auto" w:fill="auto"/>
            <w:noWrap/>
            <w:vAlign w:val="bottom"/>
            <w:hideMark/>
          </w:tcPr>
          <w:p w14:paraId="3544E35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15,6</w:t>
            </w:r>
          </w:p>
        </w:tc>
        <w:tc>
          <w:tcPr>
            <w:tcW w:w="636" w:type="pct"/>
            <w:tcBorders>
              <w:top w:val="nil"/>
              <w:left w:val="nil"/>
              <w:bottom w:val="single" w:sz="4" w:space="0" w:color="auto"/>
              <w:right w:val="single" w:sz="4" w:space="0" w:color="auto"/>
            </w:tcBorders>
            <w:shd w:val="clear" w:color="auto" w:fill="auto"/>
            <w:noWrap/>
            <w:vAlign w:val="bottom"/>
            <w:hideMark/>
          </w:tcPr>
          <w:p w14:paraId="2ED23F0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-41,8</w:t>
            </w:r>
          </w:p>
        </w:tc>
        <w:tc>
          <w:tcPr>
            <w:tcW w:w="771" w:type="pct"/>
            <w:tcBorders>
              <w:top w:val="nil"/>
              <w:left w:val="nil"/>
              <w:bottom w:val="single" w:sz="4" w:space="0" w:color="auto"/>
              <w:right w:val="single" w:sz="12" w:space="0" w:color="auto"/>
            </w:tcBorders>
            <w:shd w:val="clear" w:color="auto" w:fill="auto"/>
            <w:noWrap/>
            <w:vAlign w:val="bottom"/>
            <w:hideMark/>
          </w:tcPr>
          <w:p w14:paraId="52C8886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-30,1</w:t>
            </w:r>
          </w:p>
        </w:tc>
      </w:tr>
      <w:tr w:rsidR="003B2986" w:rsidRPr="00E36734" w14:paraId="5B8ED38D" w14:textId="77777777" w:rsidTr="003B2986">
        <w:trPr>
          <w:trHeight w:val="300"/>
        </w:trPr>
        <w:tc>
          <w:tcPr>
            <w:tcW w:w="691" w:type="pct"/>
            <w:vMerge/>
            <w:tcBorders>
              <w:top w:val="nil"/>
              <w:left w:val="single" w:sz="12" w:space="0" w:color="auto"/>
              <w:bottom w:val="single" w:sz="12" w:space="0" w:color="000000"/>
              <w:right w:val="single" w:sz="4" w:space="0" w:color="auto"/>
            </w:tcBorders>
            <w:vAlign w:val="center"/>
            <w:hideMark/>
          </w:tcPr>
          <w:p w14:paraId="43CD659D"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12" w:space="0" w:color="auto"/>
              <w:right w:val="single" w:sz="4" w:space="0" w:color="auto"/>
            </w:tcBorders>
            <w:shd w:val="clear" w:color="auto" w:fill="auto"/>
            <w:vAlign w:val="bottom"/>
            <w:hideMark/>
          </w:tcPr>
          <w:p w14:paraId="39C01ADE"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Πάνω από 300.000</w:t>
            </w:r>
          </w:p>
        </w:tc>
        <w:tc>
          <w:tcPr>
            <w:tcW w:w="415" w:type="pct"/>
            <w:tcBorders>
              <w:top w:val="nil"/>
              <w:left w:val="nil"/>
              <w:bottom w:val="single" w:sz="12" w:space="0" w:color="auto"/>
              <w:right w:val="single" w:sz="4" w:space="0" w:color="auto"/>
            </w:tcBorders>
            <w:shd w:val="clear" w:color="auto" w:fill="auto"/>
            <w:noWrap/>
            <w:vAlign w:val="bottom"/>
            <w:hideMark/>
          </w:tcPr>
          <w:p w14:paraId="19D3808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23,2</w:t>
            </w:r>
          </w:p>
        </w:tc>
        <w:tc>
          <w:tcPr>
            <w:tcW w:w="441" w:type="pct"/>
            <w:tcBorders>
              <w:top w:val="nil"/>
              <w:left w:val="nil"/>
              <w:bottom w:val="single" w:sz="12" w:space="0" w:color="auto"/>
              <w:right w:val="single" w:sz="4" w:space="0" w:color="auto"/>
            </w:tcBorders>
            <w:shd w:val="clear" w:color="auto" w:fill="auto"/>
            <w:noWrap/>
            <w:vAlign w:val="bottom"/>
            <w:hideMark/>
          </w:tcPr>
          <w:p w14:paraId="61F698A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50,7</w:t>
            </w:r>
          </w:p>
        </w:tc>
        <w:tc>
          <w:tcPr>
            <w:tcW w:w="559" w:type="pct"/>
            <w:tcBorders>
              <w:top w:val="nil"/>
              <w:left w:val="nil"/>
              <w:bottom w:val="single" w:sz="12" w:space="0" w:color="auto"/>
              <w:right w:val="double" w:sz="6" w:space="0" w:color="auto"/>
            </w:tcBorders>
            <w:shd w:val="clear" w:color="auto" w:fill="auto"/>
            <w:noWrap/>
            <w:vAlign w:val="bottom"/>
            <w:hideMark/>
          </w:tcPr>
          <w:p w14:paraId="4C4A2D4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24,6</w:t>
            </w:r>
          </w:p>
        </w:tc>
        <w:tc>
          <w:tcPr>
            <w:tcW w:w="746" w:type="pct"/>
            <w:tcBorders>
              <w:top w:val="nil"/>
              <w:left w:val="nil"/>
              <w:bottom w:val="single" w:sz="12" w:space="0" w:color="auto"/>
              <w:right w:val="single" w:sz="4" w:space="0" w:color="auto"/>
            </w:tcBorders>
            <w:shd w:val="clear" w:color="auto" w:fill="auto"/>
            <w:noWrap/>
            <w:vAlign w:val="bottom"/>
            <w:hideMark/>
          </w:tcPr>
          <w:p w14:paraId="54B8FAD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16,6</w:t>
            </w:r>
          </w:p>
        </w:tc>
        <w:tc>
          <w:tcPr>
            <w:tcW w:w="636" w:type="pct"/>
            <w:tcBorders>
              <w:top w:val="nil"/>
              <w:left w:val="nil"/>
              <w:bottom w:val="single" w:sz="12" w:space="0" w:color="auto"/>
              <w:right w:val="single" w:sz="4" w:space="0" w:color="auto"/>
            </w:tcBorders>
            <w:shd w:val="clear" w:color="auto" w:fill="auto"/>
            <w:noWrap/>
            <w:vAlign w:val="bottom"/>
            <w:hideMark/>
          </w:tcPr>
          <w:p w14:paraId="577C5E2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-32,2</w:t>
            </w:r>
          </w:p>
        </w:tc>
        <w:tc>
          <w:tcPr>
            <w:tcW w:w="771" w:type="pct"/>
            <w:tcBorders>
              <w:top w:val="nil"/>
              <w:left w:val="nil"/>
              <w:bottom w:val="single" w:sz="12" w:space="0" w:color="auto"/>
              <w:right w:val="single" w:sz="12" w:space="0" w:color="auto"/>
            </w:tcBorders>
            <w:shd w:val="clear" w:color="auto" w:fill="auto"/>
            <w:noWrap/>
            <w:vAlign w:val="bottom"/>
            <w:hideMark/>
          </w:tcPr>
          <w:p w14:paraId="5934D9A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-13,3</w:t>
            </w:r>
          </w:p>
        </w:tc>
      </w:tr>
      <w:tr w:rsidR="003B2986" w:rsidRPr="00E36734" w14:paraId="29F36FCB" w14:textId="77777777" w:rsidTr="003B2986">
        <w:trPr>
          <w:trHeight w:val="300"/>
        </w:trPr>
        <w:tc>
          <w:tcPr>
            <w:tcW w:w="691" w:type="pct"/>
            <w:vMerge w:val="restart"/>
            <w:tcBorders>
              <w:top w:val="nil"/>
              <w:left w:val="single" w:sz="12" w:space="0" w:color="auto"/>
              <w:bottom w:val="single" w:sz="12" w:space="0" w:color="000000"/>
              <w:right w:val="single" w:sz="4" w:space="0" w:color="auto"/>
            </w:tcBorders>
            <w:shd w:val="clear" w:color="auto" w:fill="auto"/>
            <w:vAlign w:val="center"/>
            <w:hideMark/>
          </w:tcPr>
          <w:p w14:paraId="1156BA0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ΑΡΙΘΜΟΣ ΕΡΓΑΖΟΜΕΝΩΝ</w:t>
            </w:r>
          </w:p>
        </w:tc>
        <w:tc>
          <w:tcPr>
            <w:tcW w:w="741" w:type="pct"/>
            <w:tcBorders>
              <w:top w:val="nil"/>
              <w:left w:val="nil"/>
              <w:bottom w:val="single" w:sz="4" w:space="0" w:color="auto"/>
              <w:right w:val="single" w:sz="4" w:space="0" w:color="auto"/>
            </w:tcBorders>
            <w:shd w:val="clear" w:color="auto" w:fill="auto"/>
            <w:vAlign w:val="bottom"/>
            <w:hideMark/>
          </w:tcPr>
          <w:p w14:paraId="472BE81A"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Χωρίς προσωπικό</w:t>
            </w:r>
          </w:p>
        </w:tc>
        <w:tc>
          <w:tcPr>
            <w:tcW w:w="415" w:type="pct"/>
            <w:tcBorders>
              <w:top w:val="nil"/>
              <w:left w:val="nil"/>
              <w:bottom w:val="single" w:sz="4" w:space="0" w:color="auto"/>
              <w:right w:val="single" w:sz="4" w:space="0" w:color="auto"/>
            </w:tcBorders>
            <w:shd w:val="clear" w:color="auto" w:fill="auto"/>
            <w:noWrap/>
            <w:vAlign w:val="bottom"/>
            <w:hideMark/>
          </w:tcPr>
          <w:p w14:paraId="7A73F87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10,5</w:t>
            </w:r>
          </w:p>
        </w:tc>
        <w:tc>
          <w:tcPr>
            <w:tcW w:w="441" w:type="pct"/>
            <w:tcBorders>
              <w:top w:val="nil"/>
              <w:left w:val="nil"/>
              <w:bottom w:val="single" w:sz="4" w:space="0" w:color="auto"/>
              <w:right w:val="single" w:sz="4" w:space="0" w:color="auto"/>
            </w:tcBorders>
            <w:shd w:val="clear" w:color="auto" w:fill="auto"/>
            <w:noWrap/>
            <w:vAlign w:val="bottom"/>
            <w:hideMark/>
          </w:tcPr>
          <w:p w14:paraId="4E0F26C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75,6</w:t>
            </w:r>
          </w:p>
        </w:tc>
        <w:tc>
          <w:tcPr>
            <w:tcW w:w="559" w:type="pct"/>
            <w:tcBorders>
              <w:top w:val="nil"/>
              <w:left w:val="nil"/>
              <w:bottom w:val="single" w:sz="4" w:space="0" w:color="auto"/>
              <w:right w:val="double" w:sz="6" w:space="0" w:color="auto"/>
            </w:tcBorders>
            <w:shd w:val="clear" w:color="auto" w:fill="auto"/>
            <w:noWrap/>
            <w:vAlign w:val="bottom"/>
            <w:hideMark/>
          </w:tcPr>
          <w:p w14:paraId="365043D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12,4</w:t>
            </w:r>
          </w:p>
        </w:tc>
        <w:tc>
          <w:tcPr>
            <w:tcW w:w="746" w:type="pct"/>
            <w:tcBorders>
              <w:top w:val="nil"/>
              <w:left w:val="nil"/>
              <w:bottom w:val="single" w:sz="4" w:space="0" w:color="auto"/>
              <w:right w:val="single" w:sz="4" w:space="0" w:color="auto"/>
            </w:tcBorders>
            <w:shd w:val="clear" w:color="auto" w:fill="auto"/>
            <w:noWrap/>
            <w:vAlign w:val="bottom"/>
            <w:hideMark/>
          </w:tcPr>
          <w:p w14:paraId="40475FE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25,7</w:t>
            </w:r>
          </w:p>
        </w:tc>
        <w:tc>
          <w:tcPr>
            <w:tcW w:w="636" w:type="pct"/>
            <w:tcBorders>
              <w:top w:val="nil"/>
              <w:left w:val="nil"/>
              <w:bottom w:val="single" w:sz="4" w:space="0" w:color="auto"/>
              <w:right w:val="single" w:sz="4" w:space="0" w:color="auto"/>
            </w:tcBorders>
            <w:shd w:val="clear" w:color="auto" w:fill="auto"/>
            <w:noWrap/>
            <w:vAlign w:val="bottom"/>
            <w:hideMark/>
          </w:tcPr>
          <w:p w14:paraId="0D360D3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-55,2</w:t>
            </w:r>
          </w:p>
        </w:tc>
        <w:tc>
          <w:tcPr>
            <w:tcW w:w="771" w:type="pct"/>
            <w:tcBorders>
              <w:top w:val="nil"/>
              <w:left w:val="nil"/>
              <w:bottom w:val="single" w:sz="4" w:space="0" w:color="auto"/>
              <w:right w:val="single" w:sz="12" w:space="0" w:color="auto"/>
            </w:tcBorders>
            <w:shd w:val="clear" w:color="auto" w:fill="auto"/>
            <w:noWrap/>
            <w:vAlign w:val="bottom"/>
            <w:hideMark/>
          </w:tcPr>
          <w:p w14:paraId="6DA6901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-41,4</w:t>
            </w:r>
          </w:p>
        </w:tc>
      </w:tr>
      <w:tr w:rsidR="003B2986" w:rsidRPr="00E36734" w14:paraId="56729DF5"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7B148EB1"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5EB3153C"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 άτομο</w:t>
            </w:r>
          </w:p>
        </w:tc>
        <w:tc>
          <w:tcPr>
            <w:tcW w:w="415" w:type="pct"/>
            <w:tcBorders>
              <w:top w:val="nil"/>
              <w:left w:val="nil"/>
              <w:bottom w:val="single" w:sz="4" w:space="0" w:color="auto"/>
              <w:right w:val="single" w:sz="4" w:space="0" w:color="auto"/>
            </w:tcBorders>
            <w:shd w:val="clear" w:color="auto" w:fill="auto"/>
            <w:noWrap/>
            <w:vAlign w:val="bottom"/>
            <w:hideMark/>
          </w:tcPr>
          <w:p w14:paraId="17427F3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7,4</w:t>
            </w:r>
          </w:p>
        </w:tc>
        <w:tc>
          <w:tcPr>
            <w:tcW w:w="441" w:type="pct"/>
            <w:tcBorders>
              <w:top w:val="nil"/>
              <w:left w:val="nil"/>
              <w:bottom w:val="single" w:sz="4" w:space="0" w:color="auto"/>
              <w:right w:val="single" w:sz="4" w:space="0" w:color="auto"/>
            </w:tcBorders>
            <w:shd w:val="clear" w:color="auto" w:fill="auto"/>
            <w:noWrap/>
            <w:vAlign w:val="bottom"/>
            <w:hideMark/>
          </w:tcPr>
          <w:p w14:paraId="6D17CB8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76,5</w:t>
            </w:r>
          </w:p>
        </w:tc>
        <w:tc>
          <w:tcPr>
            <w:tcW w:w="559" w:type="pct"/>
            <w:tcBorders>
              <w:top w:val="nil"/>
              <w:left w:val="nil"/>
              <w:bottom w:val="single" w:sz="4" w:space="0" w:color="auto"/>
              <w:right w:val="double" w:sz="6" w:space="0" w:color="auto"/>
            </w:tcBorders>
            <w:shd w:val="clear" w:color="auto" w:fill="auto"/>
            <w:noWrap/>
            <w:vAlign w:val="bottom"/>
            <w:hideMark/>
          </w:tcPr>
          <w:p w14:paraId="44E7023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14,1</w:t>
            </w:r>
          </w:p>
        </w:tc>
        <w:tc>
          <w:tcPr>
            <w:tcW w:w="746" w:type="pct"/>
            <w:tcBorders>
              <w:top w:val="nil"/>
              <w:left w:val="nil"/>
              <w:bottom w:val="single" w:sz="4" w:space="0" w:color="auto"/>
              <w:right w:val="single" w:sz="4" w:space="0" w:color="auto"/>
            </w:tcBorders>
            <w:shd w:val="clear" w:color="auto" w:fill="auto"/>
            <w:noWrap/>
            <w:vAlign w:val="bottom"/>
            <w:hideMark/>
          </w:tcPr>
          <w:p w14:paraId="6D4D80B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25,0</w:t>
            </w:r>
          </w:p>
        </w:tc>
        <w:tc>
          <w:tcPr>
            <w:tcW w:w="636" w:type="pct"/>
            <w:tcBorders>
              <w:top w:val="nil"/>
              <w:left w:val="nil"/>
              <w:bottom w:val="single" w:sz="4" w:space="0" w:color="auto"/>
              <w:right w:val="single" w:sz="4" w:space="0" w:color="auto"/>
            </w:tcBorders>
            <w:shd w:val="clear" w:color="auto" w:fill="auto"/>
            <w:noWrap/>
            <w:vAlign w:val="bottom"/>
            <w:hideMark/>
          </w:tcPr>
          <w:p w14:paraId="514F491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-46,9</w:t>
            </w:r>
          </w:p>
        </w:tc>
        <w:tc>
          <w:tcPr>
            <w:tcW w:w="771" w:type="pct"/>
            <w:tcBorders>
              <w:top w:val="nil"/>
              <w:left w:val="nil"/>
              <w:bottom w:val="single" w:sz="4" w:space="0" w:color="auto"/>
              <w:right w:val="single" w:sz="12" w:space="0" w:color="auto"/>
            </w:tcBorders>
            <w:shd w:val="clear" w:color="auto" w:fill="auto"/>
            <w:noWrap/>
            <w:vAlign w:val="bottom"/>
            <w:hideMark/>
          </w:tcPr>
          <w:p w14:paraId="69B4C19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-34,6</w:t>
            </w:r>
          </w:p>
        </w:tc>
      </w:tr>
      <w:tr w:rsidR="003B2986" w:rsidRPr="00E36734" w14:paraId="4CC696D8"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0622A862"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7AA26C0C"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 άτομα</w:t>
            </w:r>
          </w:p>
        </w:tc>
        <w:tc>
          <w:tcPr>
            <w:tcW w:w="415" w:type="pct"/>
            <w:tcBorders>
              <w:top w:val="nil"/>
              <w:left w:val="nil"/>
              <w:bottom w:val="single" w:sz="4" w:space="0" w:color="auto"/>
              <w:right w:val="single" w:sz="4" w:space="0" w:color="auto"/>
            </w:tcBorders>
            <w:shd w:val="clear" w:color="auto" w:fill="auto"/>
            <w:noWrap/>
            <w:vAlign w:val="bottom"/>
            <w:hideMark/>
          </w:tcPr>
          <w:p w14:paraId="44180E4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9,2</w:t>
            </w:r>
          </w:p>
        </w:tc>
        <w:tc>
          <w:tcPr>
            <w:tcW w:w="441" w:type="pct"/>
            <w:tcBorders>
              <w:top w:val="nil"/>
              <w:left w:val="nil"/>
              <w:bottom w:val="single" w:sz="4" w:space="0" w:color="auto"/>
              <w:right w:val="single" w:sz="4" w:space="0" w:color="auto"/>
            </w:tcBorders>
            <w:shd w:val="clear" w:color="auto" w:fill="auto"/>
            <w:noWrap/>
            <w:vAlign w:val="bottom"/>
            <w:hideMark/>
          </w:tcPr>
          <w:p w14:paraId="69E7C43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68,1</w:t>
            </w:r>
          </w:p>
        </w:tc>
        <w:tc>
          <w:tcPr>
            <w:tcW w:w="559" w:type="pct"/>
            <w:tcBorders>
              <w:top w:val="nil"/>
              <w:left w:val="nil"/>
              <w:bottom w:val="single" w:sz="4" w:space="0" w:color="auto"/>
              <w:right w:val="double" w:sz="6" w:space="0" w:color="auto"/>
            </w:tcBorders>
            <w:shd w:val="clear" w:color="auto" w:fill="auto"/>
            <w:noWrap/>
            <w:vAlign w:val="bottom"/>
            <w:hideMark/>
          </w:tcPr>
          <w:p w14:paraId="7B5FE57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22,1</w:t>
            </w:r>
          </w:p>
        </w:tc>
        <w:tc>
          <w:tcPr>
            <w:tcW w:w="746" w:type="pct"/>
            <w:tcBorders>
              <w:top w:val="nil"/>
              <w:left w:val="nil"/>
              <w:bottom w:val="single" w:sz="4" w:space="0" w:color="auto"/>
              <w:right w:val="single" w:sz="4" w:space="0" w:color="auto"/>
            </w:tcBorders>
            <w:shd w:val="clear" w:color="auto" w:fill="auto"/>
            <w:noWrap/>
            <w:vAlign w:val="bottom"/>
            <w:hideMark/>
          </w:tcPr>
          <w:p w14:paraId="28F41FB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15,5</w:t>
            </w:r>
          </w:p>
        </w:tc>
        <w:tc>
          <w:tcPr>
            <w:tcW w:w="636" w:type="pct"/>
            <w:tcBorders>
              <w:top w:val="nil"/>
              <w:left w:val="nil"/>
              <w:bottom w:val="single" w:sz="4" w:space="0" w:color="auto"/>
              <w:right w:val="single" w:sz="4" w:space="0" w:color="auto"/>
            </w:tcBorders>
            <w:shd w:val="clear" w:color="auto" w:fill="auto"/>
            <w:noWrap/>
            <w:vAlign w:val="bottom"/>
            <w:hideMark/>
          </w:tcPr>
          <w:p w14:paraId="38717C9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-44,0</w:t>
            </w:r>
          </w:p>
        </w:tc>
        <w:tc>
          <w:tcPr>
            <w:tcW w:w="771" w:type="pct"/>
            <w:tcBorders>
              <w:top w:val="nil"/>
              <w:left w:val="nil"/>
              <w:bottom w:val="single" w:sz="4" w:space="0" w:color="auto"/>
              <w:right w:val="single" w:sz="12" w:space="0" w:color="auto"/>
            </w:tcBorders>
            <w:shd w:val="clear" w:color="auto" w:fill="auto"/>
            <w:noWrap/>
            <w:vAlign w:val="bottom"/>
            <w:hideMark/>
          </w:tcPr>
          <w:p w14:paraId="74C53672"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-28,5</w:t>
            </w:r>
          </w:p>
        </w:tc>
      </w:tr>
      <w:tr w:rsidR="003B2986" w:rsidRPr="00E36734" w14:paraId="47EC9A2C" w14:textId="77777777" w:rsidTr="003B2986">
        <w:trPr>
          <w:trHeight w:val="288"/>
        </w:trPr>
        <w:tc>
          <w:tcPr>
            <w:tcW w:w="691" w:type="pct"/>
            <w:vMerge/>
            <w:tcBorders>
              <w:top w:val="nil"/>
              <w:left w:val="single" w:sz="12" w:space="0" w:color="auto"/>
              <w:bottom w:val="single" w:sz="12" w:space="0" w:color="000000"/>
              <w:right w:val="single" w:sz="4" w:space="0" w:color="auto"/>
            </w:tcBorders>
            <w:vAlign w:val="center"/>
            <w:hideMark/>
          </w:tcPr>
          <w:p w14:paraId="7995B7CE"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4" w:space="0" w:color="auto"/>
              <w:right w:val="single" w:sz="4" w:space="0" w:color="auto"/>
            </w:tcBorders>
            <w:shd w:val="clear" w:color="auto" w:fill="auto"/>
            <w:vAlign w:val="bottom"/>
            <w:hideMark/>
          </w:tcPr>
          <w:p w14:paraId="7FB943C8"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4-5 άτομα</w:t>
            </w:r>
          </w:p>
        </w:tc>
        <w:tc>
          <w:tcPr>
            <w:tcW w:w="415" w:type="pct"/>
            <w:tcBorders>
              <w:top w:val="nil"/>
              <w:left w:val="nil"/>
              <w:bottom w:val="single" w:sz="4" w:space="0" w:color="auto"/>
              <w:right w:val="single" w:sz="4" w:space="0" w:color="auto"/>
            </w:tcBorders>
            <w:shd w:val="clear" w:color="auto" w:fill="auto"/>
            <w:noWrap/>
            <w:vAlign w:val="bottom"/>
            <w:hideMark/>
          </w:tcPr>
          <w:p w14:paraId="016A49D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13,0</w:t>
            </w:r>
          </w:p>
        </w:tc>
        <w:tc>
          <w:tcPr>
            <w:tcW w:w="441" w:type="pct"/>
            <w:tcBorders>
              <w:top w:val="nil"/>
              <w:left w:val="nil"/>
              <w:bottom w:val="single" w:sz="4" w:space="0" w:color="auto"/>
              <w:right w:val="single" w:sz="4" w:space="0" w:color="auto"/>
            </w:tcBorders>
            <w:shd w:val="clear" w:color="auto" w:fill="auto"/>
            <w:noWrap/>
            <w:vAlign w:val="bottom"/>
            <w:hideMark/>
          </w:tcPr>
          <w:p w14:paraId="65A0870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72,7</w:t>
            </w:r>
          </w:p>
        </w:tc>
        <w:tc>
          <w:tcPr>
            <w:tcW w:w="559" w:type="pct"/>
            <w:tcBorders>
              <w:top w:val="nil"/>
              <w:left w:val="nil"/>
              <w:bottom w:val="single" w:sz="4" w:space="0" w:color="auto"/>
              <w:right w:val="double" w:sz="6" w:space="0" w:color="auto"/>
            </w:tcBorders>
            <w:shd w:val="clear" w:color="auto" w:fill="auto"/>
            <w:noWrap/>
            <w:vAlign w:val="bottom"/>
            <w:hideMark/>
          </w:tcPr>
          <w:p w14:paraId="5A68753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13,0</w:t>
            </w:r>
          </w:p>
        </w:tc>
        <w:tc>
          <w:tcPr>
            <w:tcW w:w="746" w:type="pct"/>
            <w:tcBorders>
              <w:top w:val="nil"/>
              <w:left w:val="nil"/>
              <w:bottom w:val="single" w:sz="4" w:space="0" w:color="auto"/>
              <w:right w:val="single" w:sz="4" w:space="0" w:color="auto"/>
            </w:tcBorders>
            <w:shd w:val="clear" w:color="auto" w:fill="auto"/>
            <w:noWrap/>
            <w:vAlign w:val="bottom"/>
            <w:hideMark/>
          </w:tcPr>
          <w:p w14:paraId="7466100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11,9</w:t>
            </w:r>
          </w:p>
        </w:tc>
        <w:tc>
          <w:tcPr>
            <w:tcW w:w="636" w:type="pct"/>
            <w:tcBorders>
              <w:top w:val="nil"/>
              <w:left w:val="nil"/>
              <w:bottom w:val="single" w:sz="4" w:space="0" w:color="auto"/>
              <w:right w:val="single" w:sz="4" w:space="0" w:color="auto"/>
            </w:tcBorders>
            <w:shd w:val="clear" w:color="auto" w:fill="auto"/>
            <w:noWrap/>
            <w:vAlign w:val="bottom"/>
            <w:hideMark/>
          </w:tcPr>
          <w:p w14:paraId="0A81D43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-46,3</w:t>
            </w:r>
          </w:p>
        </w:tc>
        <w:tc>
          <w:tcPr>
            <w:tcW w:w="771" w:type="pct"/>
            <w:tcBorders>
              <w:top w:val="nil"/>
              <w:left w:val="nil"/>
              <w:bottom w:val="single" w:sz="4" w:space="0" w:color="auto"/>
              <w:right w:val="single" w:sz="12" w:space="0" w:color="auto"/>
            </w:tcBorders>
            <w:shd w:val="clear" w:color="auto" w:fill="auto"/>
            <w:noWrap/>
            <w:vAlign w:val="bottom"/>
            <w:hideMark/>
          </w:tcPr>
          <w:p w14:paraId="31B6ABE1"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-33,6</w:t>
            </w:r>
          </w:p>
        </w:tc>
      </w:tr>
      <w:tr w:rsidR="003B2986" w:rsidRPr="00E36734" w14:paraId="6D2F7AA9" w14:textId="77777777" w:rsidTr="003B2986">
        <w:trPr>
          <w:trHeight w:val="300"/>
        </w:trPr>
        <w:tc>
          <w:tcPr>
            <w:tcW w:w="691" w:type="pct"/>
            <w:vMerge/>
            <w:tcBorders>
              <w:top w:val="nil"/>
              <w:left w:val="single" w:sz="12" w:space="0" w:color="auto"/>
              <w:bottom w:val="single" w:sz="12" w:space="0" w:color="000000"/>
              <w:right w:val="single" w:sz="4" w:space="0" w:color="auto"/>
            </w:tcBorders>
            <w:vAlign w:val="center"/>
            <w:hideMark/>
          </w:tcPr>
          <w:p w14:paraId="5AE3761B" w14:textId="77777777" w:rsidR="003B2986" w:rsidRPr="00E36734" w:rsidRDefault="003B2986" w:rsidP="003B2986">
            <w:pPr>
              <w:spacing w:after="0" w:line="240" w:lineRule="auto"/>
              <w:rPr>
                <w:rFonts w:ascii="Calibri" w:eastAsia="Times New Roman" w:hAnsi="Calibri" w:cs="Calibri"/>
                <w:color w:val="000000"/>
                <w:sz w:val="18"/>
                <w:szCs w:val="18"/>
                <w:lang w:val="en-US"/>
              </w:rPr>
            </w:pPr>
          </w:p>
        </w:tc>
        <w:tc>
          <w:tcPr>
            <w:tcW w:w="741" w:type="pct"/>
            <w:tcBorders>
              <w:top w:val="nil"/>
              <w:left w:val="nil"/>
              <w:bottom w:val="single" w:sz="12" w:space="0" w:color="auto"/>
              <w:right w:val="single" w:sz="4" w:space="0" w:color="auto"/>
            </w:tcBorders>
            <w:shd w:val="clear" w:color="auto" w:fill="auto"/>
            <w:vAlign w:val="bottom"/>
            <w:hideMark/>
          </w:tcPr>
          <w:p w14:paraId="6336C7C4" w14:textId="77777777" w:rsidR="003B2986" w:rsidRPr="00E36734" w:rsidRDefault="003B2986" w:rsidP="003B2986">
            <w:pPr>
              <w:spacing w:after="0" w:line="240" w:lineRule="auto"/>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Πάνω από 5 άτομα</w:t>
            </w:r>
          </w:p>
        </w:tc>
        <w:tc>
          <w:tcPr>
            <w:tcW w:w="415" w:type="pct"/>
            <w:tcBorders>
              <w:top w:val="nil"/>
              <w:left w:val="nil"/>
              <w:bottom w:val="single" w:sz="12" w:space="0" w:color="auto"/>
              <w:right w:val="single" w:sz="4" w:space="0" w:color="auto"/>
            </w:tcBorders>
            <w:shd w:val="clear" w:color="auto" w:fill="auto"/>
            <w:noWrap/>
            <w:vAlign w:val="bottom"/>
            <w:hideMark/>
          </w:tcPr>
          <w:p w14:paraId="479AA1D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17,1</w:t>
            </w:r>
          </w:p>
        </w:tc>
        <w:tc>
          <w:tcPr>
            <w:tcW w:w="441" w:type="pct"/>
            <w:tcBorders>
              <w:top w:val="nil"/>
              <w:left w:val="nil"/>
              <w:bottom w:val="single" w:sz="12" w:space="0" w:color="auto"/>
              <w:right w:val="single" w:sz="4" w:space="0" w:color="auto"/>
            </w:tcBorders>
            <w:shd w:val="clear" w:color="auto" w:fill="auto"/>
            <w:noWrap/>
            <w:vAlign w:val="bottom"/>
            <w:hideMark/>
          </w:tcPr>
          <w:p w14:paraId="1240783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57,9</w:t>
            </w:r>
          </w:p>
        </w:tc>
        <w:tc>
          <w:tcPr>
            <w:tcW w:w="559" w:type="pct"/>
            <w:tcBorders>
              <w:top w:val="nil"/>
              <w:left w:val="nil"/>
              <w:bottom w:val="single" w:sz="12" w:space="0" w:color="auto"/>
              <w:right w:val="double" w:sz="6" w:space="0" w:color="auto"/>
            </w:tcBorders>
            <w:shd w:val="clear" w:color="auto" w:fill="auto"/>
            <w:noWrap/>
            <w:vAlign w:val="bottom"/>
            <w:hideMark/>
          </w:tcPr>
          <w:p w14:paraId="4E4FF8F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23,7</w:t>
            </w:r>
          </w:p>
        </w:tc>
        <w:tc>
          <w:tcPr>
            <w:tcW w:w="746" w:type="pct"/>
            <w:tcBorders>
              <w:top w:val="nil"/>
              <w:left w:val="nil"/>
              <w:bottom w:val="single" w:sz="12" w:space="0" w:color="auto"/>
              <w:right w:val="single" w:sz="4" w:space="0" w:color="auto"/>
            </w:tcBorders>
            <w:shd w:val="clear" w:color="auto" w:fill="auto"/>
            <w:noWrap/>
            <w:vAlign w:val="bottom"/>
            <w:hideMark/>
          </w:tcPr>
          <w:p w14:paraId="6D101883"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23,0</w:t>
            </w:r>
          </w:p>
        </w:tc>
        <w:tc>
          <w:tcPr>
            <w:tcW w:w="636" w:type="pct"/>
            <w:tcBorders>
              <w:top w:val="nil"/>
              <w:left w:val="nil"/>
              <w:bottom w:val="single" w:sz="12" w:space="0" w:color="auto"/>
              <w:right w:val="single" w:sz="4" w:space="0" w:color="auto"/>
            </w:tcBorders>
            <w:shd w:val="clear" w:color="auto" w:fill="auto"/>
            <w:noWrap/>
            <w:vAlign w:val="bottom"/>
            <w:hideMark/>
          </w:tcPr>
          <w:p w14:paraId="1D895D8A"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-39,1</w:t>
            </w:r>
          </w:p>
        </w:tc>
        <w:tc>
          <w:tcPr>
            <w:tcW w:w="771" w:type="pct"/>
            <w:tcBorders>
              <w:top w:val="nil"/>
              <w:left w:val="nil"/>
              <w:bottom w:val="single" w:sz="12" w:space="0" w:color="auto"/>
              <w:right w:val="single" w:sz="12" w:space="0" w:color="auto"/>
            </w:tcBorders>
            <w:shd w:val="clear" w:color="auto" w:fill="auto"/>
            <w:noWrap/>
            <w:vAlign w:val="bottom"/>
            <w:hideMark/>
          </w:tcPr>
          <w:p w14:paraId="39D64C0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-19,7</w:t>
            </w:r>
          </w:p>
        </w:tc>
      </w:tr>
      <w:tr w:rsidR="003B2986" w:rsidRPr="00E36734" w14:paraId="1BF66DC7" w14:textId="77777777" w:rsidTr="003B2986">
        <w:trPr>
          <w:trHeight w:val="528"/>
        </w:trPr>
        <w:tc>
          <w:tcPr>
            <w:tcW w:w="1432" w:type="pct"/>
            <w:gridSpan w:val="2"/>
            <w:tcBorders>
              <w:top w:val="single" w:sz="12" w:space="0" w:color="auto"/>
              <w:left w:val="single" w:sz="12" w:space="0" w:color="auto"/>
              <w:bottom w:val="single" w:sz="4" w:space="0" w:color="auto"/>
              <w:right w:val="single" w:sz="4" w:space="0" w:color="auto"/>
            </w:tcBorders>
            <w:shd w:val="clear" w:color="auto" w:fill="auto"/>
            <w:vAlign w:val="bottom"/>
            <w:hideMark/>
          </w:tcPr>
          <w:p w14:paraId="5181A898" w14:textId="77777777" w:rsidR="003B2986" w:rsidRPr="00E36734" w:rsidRDefault="003B2986" w:rsidP="003B2986">
            <w:pPr>
              <w:spacing w:after="0" w:line="240" w:lineRule="auto"/>
              <w:jc w:val="center"/>
              <w:rPr>
                <w:rFonts w:ascii="Calibri" w:eastAsia="Times New Roman" w:hAnsi="Calibri" w:cs="Calibri"/>
                <w:color w:val="000000"/>
                <w:sz w:val="18"/>
                <w:szCs w:val="18"/>
              </w:rPr>
            </w:pPr>
            <w:r w:rsidRPr="00E36734">
              <w:rPr>
                <w:rFonts w:ascii="Calibri" w:eastAsia="Times New Roman" w:hAnsi="Calibri" w:cs="Calibri"/>
                <w:color w:val="000000"/>
                <w:sz w:val="18"/>
                <w:szCs w:val="18"/>
              </w:rPr>
              <w:t>Επιχειρήσεις που ανέστειλαν τη λειτουργία τους με κρατική εντολή</w:t>
            </w:r>
          </w:p>
        </w:tc>
        <w:tc>
          <w:tcPr>
            <w:tcW w:w="415" w:type="pct"/>
            <w:tcBorders>
              <w:top w:val="nil"/>
              <w:left w:val="nil"/>
              <w:bottom w:val="single" w:sz="4" w:space="0" w:color="auto"/>
              <w:right w:val="single" w:sz="4" w:space="0" w:color="auto"/>
            </w:tcBorders>
            <w:shd w:val="clear" w:color="auto" w:fill="auto"/>
            <w:noWrap/>
            <w:vAlign w:val="bottom"/>
            <w:hideMark/>
          </w:tcPr>
          <w:p w14:paraId="762DAB27"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8,9</w:t>
            </w:r>
          </w:p>
        </w:tc>
        <w:tc>
          <w:tcPr>
            <w:tcW w:w="441" w:type="pct"/>
            <w:tcBorders>
              <w:top w:val="nil"/>
              <w:left w:val="nil"/>
              <w:bottom w:val="single" w:sz="4" w:space="0" w:color="auto"/>
              <w:right w:val="single" w:sz="4" w:space="0" w:color="auto"/>
            </w:tcBorders>
            <w:shd w:val="clear" w:color="auto" w:fill="auto"/>
            <w:noWrap/>
            <w:vAlign w:val="bottom"/>
            <w:hideMark/>
          </w:tcPr>
          <w:p w14:paraId="510BF28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81,7</w:t>
            </w:r>
          </w:p>
        </w:tc>
        <w:tc>
          <w:tcPr>
            <w:tcW w:w="559" w:type="pct"/>
            <w:tcBorders>
              <w:top w:val="nil"/>
              <w:left w:val="nil"/>
              <w:bottom w:val="single" w:sz="4" w:space="0" w:color="auto"/>
              <w:right w:val="double" w:sz="6" w:space="0" w:color="auto"/>
            </w:tcBorders>
            <w:shd w:val="clear" w:color="auto" w:fill="auto"/>
            <w:noWrap/>
            <w:vAlign w:val="bottom"/>
            <w:hideMark/>
          </w:tcPr>
          <w:p w14:paraId="5262F1B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9,4</w:t>
            </w:r>
          </w:p>
        </w:tc>
        <w:tc>
          <w:tcPr>
            <w:tcW w:w="746" w:type="pct"/>
            <w:tcBorders>
              <w:top w:val="nil"/>
              <w:left w:val="nil"/>
              <w:bottom w:val="single" w:sz="4" w:space="0" w:color="auto"/>
              <w:right w:val="single" w:sz="4" w:space="0" w:color="auto"/>
            </w:tcBorders>
            <w:shd w:val="clear" w:color="auto" w:fill="auto"/>
            <w:noWrap/>
            <w:vAlign w:val="bottom"/>
            <w:hideMark/>
          </w:tcPr>
          <w:p w14:paraId="38E0C65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25,0</w:t>
            </w:r>
          </w:p>
        </w:tc>
        <w:tc>
          <w:tcPr>
            <w:tcW w:w="636" w:type="pct"/>
            <w:tcBorders>
              <w:top w:val="nil"/>
              <w:left w:val="nil"/>
              <w:bottom w:val="single" w:sz="4" w:space="0" w:color="auto"/>
              <w:right w:val="single" w:sz="4" w:space="0" w:color="auto"/>
            </w:tcBorders>
            <w:shd w:val="clear" w:color="auto" w:fill="auto"/>
            <w:noWrap/>
            <w:vAlign w:val="bottom"/>
            <w:hideMark/>
          </w:tcPr>
          <w:p w14:paraId="2224BF0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-49,9</w:t>
            </w:r>
          </w:p>
        </w:tc>
        <w:tc>
          <w:tcPr>
            <w:tcW w:w="771" w:type="pct"/>
            <w:tcBorders>
              <w:top w:val="nil"/>
              <w:left w:val="nil"/>
              <w:bottom w:val="single" w:sz="4" w:space="0" w:color="auto"/>
              <w:right w:val="single" w:sz="12" w:space="0" w:color="auto"/>
            </w:tcBorders>
            <w:shd w:val="clear" w:color="auto" w:fill="auto"/>
            <w:noWrap/>
            <w:vAlign w:val="bottom"/>
            <w:hideMark/>
          </w:tcPr>
          <w:p w14:paraId="76C26DA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-39,3</w:t>
            </w:r>
          </w:p>
        </w:tc>
      </w:tr>
      <w:tr w:rsidR="003B2986" w:rsidRPr="00E36734" w14:paraId="2ED2B866" w14:textId="77777777" w:rsidTr="003B2986">
        <w:trPr>
          <w:trHeight w:val="624"/>
        </w:trPr>
        <w:tc>
          <w:tcPr>
            <w:tcW w:w="1432" w:type="pct"/>
            <w:gridSpan w:val="2"/>
            <w:tcBorders>
              <w:top w:val="single" w:sz="4" w:space="0" w:color="auto"/>
              <w:left w:val="single" w:sz="12" w:space="0" w:color="auto"/>
              <w:bottom w:val="single" w:sz="4" w:space="0" w:color="auto"/>
              <w:right w:val="single" w:sz="4" w:space="0" w:color="auto"/>
            </w:tcBorders>
            <w:shd w:val="clear" w:color="auto" w:fill="auto"/>
            <w:vAlign w:val="bottom"/>
            <w:hideMark/>
          </w:tcPr>
          <w:p w14:paraId="57DE1C5F" w14:textId="77777777" w:rsidR="003B2986" w:rsidRPr="00E36734" w:rsidRDefault="003B2986" w:rsidP="003B2986">
            <w:pPr>
              <w:spacing w:after="0" w:line="240" w:lineRule="auto"/>
              <w:jc w:val="center"/>
              <w:rPr>
                <w:rFonts w:ascii="Calibri" w:eastAsia="Times New Roman" w:hAnsi="Calibri" w:cs="Calibri"/>
                <w:color w:val="000000"/>
                <w:sz w:val="18"/>
                <w:szCs w:val="18"/>
              </w:rPr>
            </w:pPr>
            <w:r w:rsidRPr="00E36734">
              <w:rPr>
                <w:rFonts w:ascii="Calibri" w:eastAsia="Times New Roman" w:hAnsi="Calibri" w:cs="Calibri"/>
                <w:color w:val="000000"/>
                <w:sz w:val="18"/>
                <w:szCs w:val="18"/>
              </w:rPr>
              <w:t>Επιχειρήσεις που βάσει ΚΑΔ άνηκαν στις πληττόμενες</w:t>
            </w:r>
          </w:p>
        </w:tc>
        <w:tc>
          <w:tcPr>
            <w:tcW w:w="415" w:type="pct"/>
            <w:tcBorders>
              <w:top w:val="nil"/>
              <w:left w:val="nil"/>
              <w:bottom w:val="single" w:sz="4" w:space="0" w:color="auto"/>
              <w:right w:val="single" w:sz="4" w:space="0" w:color="auto"/>
            </w:tcBorders>
            <w:shd w:val="clear" w:color="auto" w:fill="auto"/>
            <w:noWrap/>
            <w:vAlign w:val="bottom"/>
            <w:hideMark/>
          </w:tcPr>
          <w:p w14:paraId="7EF34160"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9,0</w:t>
            </w:r>
          </w:p>
        </w:tc>
        <w:tc>
          <w:tcPr>
            <w:tcW w:w="441" w:type="pct"/>
            <w:tcBorders>
              <w:top w:val="nil"/>
              <w:left w:val="nil"/>
              <w:bottom w:val="single" w:sz="4" w:space="0" w:color="auto"/>
              <w:right w:val="single" w:sz="4" w:space="0" w:color="auto"/>
            </w:tcBorders>
            <w:shd w:val="clear" w:color="auto" w:fill="auto"/>
            <w:noWrap/>
            <w:vAlign w:val="bottom"/>
            <w:hideMark/>
          </w:tcPr>
          <w:p w14:paraId="551FEA0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74,4</w:t>
            </w:r>
          </w:p>
        </w:tc>
        <w:tc>
          <w:tcPr>
            <w:tcW w:w="559" w:type="pct"/>
            <w:tcBorders>
              <w:top w:val="nil"/>
              <w:left w:val="nil"/>
              <w:bottom w:val="single" w:sz="4" w:space="0" w:color="auto"/>
              <w:right w:val="double" w:sz="6" w:space="0" w:color="auto"/>
            </w:tcBorders>
            <w:shd w:val="clear" w:color="auto" w:fill="auto"/>
            <w:noWrap/>
            <w:vAlign w:val="bottom"/>
            <w:hideMark/>
          </w:tcPr>
          <w:p w14:paraId="4462B70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14,5</w:t>
            </w:r>
          </w:p>
        </w:tc>
        <w:tc>
          <w:tcPr>
            <w:tcW w:w="746" w:type="pct"/>
            <w:tcBorders>
              <w:top w:val="nil"/>
              <w:left w:val="nil"/>
              <w:bottom w:val="single" w:sz="4" w:space="0" w:color="auto"/>
              <w:right w:val="single" w:sz="4" w:space="0" w:color="auto"/>
            </w:tcBorders>
            <w:shd w:val="clear" w:color="auto" w:fill="auto"/>
            <w:noWrap/>
            <w:vAlign w:val="bottom"/>
            <w:hideMark/>
          </w:tcPr>
          <w:p w14:paraId="1A14A49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20,2</w:t>
            </w:r>
          </w:p>
        </w:tc>
        <w:tc>
          <w:tcPr>
            <w:tcW w:w="636" w:type="pct"/>
            <w:tcBorders>
              <w:top w:val="nil"/>
              <w:left w:val="nil"/>
              <w:bottom w:val="single" w:sz="4" w:space="0" w:color="auto"/>
              <w:right w:val="single" w:sz="4" w:space="0" w:color="auto"/>
            </w:tcBorders>
            <w:shd w:val="clear" w:color="auto" w:fill="auto"/>
            <w:noWrap/>
            <w:vAlign w:val="bottom"/>
            <w:hideMark/>
          </w:tcPr>
          <w:p w14:paraId="24FB2A45"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-48,9</w:t>
            </w:r>
          </w:p>
        </w:tc>
        <w:tc>
          <w:tcPr>
            <w:tcW w:w="771" w:type="pct"/>
            <w:tcBorders>
              <w:top w:val="nil"/>
              <w:left w:val="nil"/>
              <w:bottom w:val="single" w:sz="4" w:space="0" w:color="auto"/>
              <w:right w:val="single" w:sz="12" w:space="0" w:color="auto"/>
            </w:tcBorders>
            <w:shd w:val="clear" w:color="auto" w:fill="auto"/>
            <w:noWrap/>
            <w:vAlign w:val="bottom"/>
            <w:hideMark/>
          </w:tcPr>
          <w:p w14:paraId="529164BE"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-35,6</w:t>
            </w:r>
          </w:p>
        </w:tc>
      </w:tr>
      <w:tr w:rsidR="003B2986" w:rsidRPr="00E36734" w14:paraId="280F3A1B" w14:textId="77777777" w:rsidTr="003B2986">
        <w:trPr>
          <w:trHeight w:val="912"/>
        </w:trPr>
        <w:tc>
          <w:tcPr>
            <w:tcW w:w="1432" w:type="pct"/>
            <w:gridSpan w:val="2"/>
            <w:tcBorders>
              <w:top w:val="single" w:sz="4" w:space="0" w:color="auto"/>
              <w:left w:val="single" w:sz="12" w:space="0" w:color="auto"/>
              <w:bottom w:val="single" w:sz="12" w:space="0" w:color="auto"/>
              <w:right w:val="single" w:sz="4" w:space="0" w:color="auto"/>
            </w:tcBorders>
            <w:shd w:val="clear" w:color="auto" w:fill="auto"/>
            <w:vAlign w:val="bottom"/>
            <w:hideMark/>
          </w:tcPr>
          <w:p w14:paraId="64F8DFB1" w14:textId="77777777" w:rsidR="003B2986" w:rsidRPr="00E36734" w:rsidRDefault="003B2986" w:rsidP="003B2986">
            <w:pPr>
              <w:spacing w:after="0" w:line="240" w:lineRule="auto"/>
              <w:jc w:val="center"/>
              <w:rPr>
                <w:rFonts w:ascii="Calibri" w:eastAsia="Times New Roman" w:hAnsi="Calibri" w:cs="Calibri"/>
                <w:color w:val="000000"/>
                <w:sz w:val="18"/>
                <w:szCs w:val="18"/>
              </w:rPr>
            </w:pPr>
            <w:r w:rsidRPr="00E36734">
              <w:rPr>
                <w:rFonts w:ascii="Calibri" w:eastAsia="Times New Roman" w:hAnsi="Calibri" w:cs="Calibri"/>
                <w:color w:val="000000"/>
                <w:sz w:val="18"/>
                <w:szCs w:val="18"/>
              </w:rPr>
              <w:t>Επιχειρήσεις που δεν ανήκουν σε καμία από τις δύο παραπάνω κατηγορίες</w:t>
            </w:r>
          </w:p>
        </w:tc>
        <w:tc>
          <w:tcPr>
            <w:tcW w:w="415" w:type="pct"/>
            <w:tcBorders>
              <w:top w:val="nil"/>
              <w:left w:val="nil"/>
              <w:bottom w:val="single" w:sz="12" w:space="0" w:color="auto"/>
              <w:right w:val="single" w:sz="4" w:space="0" w:color="auto"/>
            </w:tcBorders>
            <w:shd w:val="clear" w:color="auto" w:fill="auto"/>
            <w:noWrap/>
            <w:vAlign w:val="bottom"/>
            <w:hideMark/>
          </w:tcPr>
          <w:p w14:paraId="3AAA83CF"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18,6</w:t>
            </w:r>
          </w:p>
        </w:tc>
        <w:tc>
          <w:tcPr>
            <w:tcW w:w="441" w:type="pct"/>
            <w:tcBorders>
              <w:top w:val="nil"/>
              <w:left w:val="nil"/>
              <w:bottom w:val="single" w:sz="12" w:space="0" w:color="auto"/>
              <w:right w:val="single" w:sz="4" w:space="0" w:color="auto"/>
            </w:tcBorders>
            <w:shd w:val="clear" w:color="auto" w:fill="auto"/>
            <w:noWrap/>
            <w:vAlign w:val="bottom"/>
            <w:hideMark/>
          </w:tcPr>
          <w:p w14:paraId="3A8F755D"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50,8</w:t>
            </w:r>
          </w:p>
        </w:tc>
        <w:tc>
          <w:tcPr>
            <w:tcW w:w="559" w:type="pct"/>
            <w:tcBorders>
              <w:top w:val="nil"/>
              <w:left w:val="nil"/>
              <w:bottom w:val="single" w:sz="12" w:space="0" w:color="auto"/>
              <w:right w:val="double" w:sz="6" w:space="0" w:color="auto"/>
            </w:tcBorders>
            <w:shd w:val="clear" w:color="auto" w:fill="auto"/>
            <w:noWrap/>
            <w:vAlign w:val="bottom"/>
            <w:hideMark/>
          </w:tcPr>
          <w:p w14:paraId="2C96507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30,1</w:t>
            </w:r>
          </w:p>
        </w:tc>
        <w:tc>
          <w:tcPr>
            <w:tcW w:w="746" w:type="pct"/>
            <w:tcBorders>
              <w:top w:val="nil"/>
              <w:left w:val="nil"/>
              <w:bottom w:val="single" w:sz="12" w:space="0" w:color="auto"/>
              <w:right w:val="single" w:sz="4" w:space="0" w:color="auto"/>
            </w:tcBorders>
            <w:shd w:val="clear" w:color="auto" w:fill="auto"/>
            <w:noWrap/>
            <w:vAlign w:val="bottom"/>
            <w:hideMark/>
          </w:tcPr>
          <w:p w14:paraId="1D99E3B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20,6</w:t>
            </w:r>
          </w:p>
        </w:tc>
        <w:tc>
          <w:tcPr>
            <w:tcW w:w="636" w:type="pct"/>
            <w:tcBorders>
              <w:top w:val="nil"/>
              <w:left w:val="nil"/>
              <w:bottom w:val="single" w:sz="12" w:space="0" w:color="auto"/>
              <w:right w:val="single" w:sz="4" w:space="0" w:color="auto"/>
            </w:tcBorders>
            <w:shd w:val="clear" w:color="auto" w:fill="auto"/>
            <w:noWrap/>
            <w:vAlign w:val="bottom"/>
            <w:hideMark/>
          </w:tcPr>
          <w:p w14:paraId="33C187F9"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-40,6</w:t>
            </w:r>
          </w:p>
        </w:tc>
        <w:tc>
          <w:tcPr>
            <w:tcW w:w="771" w:type="pct"/>
            <w:tcBorders>
              <w:top w:val="nil"/>
              <w:left w:val="nil"/>
              <w:bottom w:val="single" w:sz="12" w:space="0" w:color="auto"/>
              <w:right w:val="single" w:sz="12" w:space="0" w:color="auto"/>
            </w:tcBorders>
            <w:shd w:val="clear" w:color="auto" w:fill="auto"/>
            <w:noWrap/>
            <w:vAlign w:val="bottom"/>
            <w:hideMark/>
          </w:tcPr>
          <w:p w14:paraId="228A208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-17,8</w:t>
            </w:r>
          </w:p>
        </w:tc>
      </w:tr>
      <w:tr w:rsidR="003B2986" w:rsidRPr="00E36734" w14:paraId="46157E14" w14:textId="77777777" w:rsidTr="003B2986">
        <w:trPr>
          <w:trHeight w:val="312"/>
        </w:trPr>
        <w:tc>
          <w:tcPr>
            <w:tcW w:w="1432" w:type="pct"/>
            <w:gridSpan w:val="2"/>
            <w:tcBorders>
              <w:top w:val="nil"/>
              <w:left w:val="single" w:sz="12" w:space="0" w:color="auto"/>
              <w:bottom w:val="single" w:sz="12" w:space="0" w:color="auto"/>
              <w:right w:val="single" w:sz="4" w:space="0" w:color="auto"/>
            </w:tcBorders>
            <w:shd w:val="clear" w:color="auto" w:fill="auto"/>
            <w:vAlign w:val="bottom"/>
            <w:hideMark/>
          </w:tcPr>
          <w:p w14:paraId="6B34EDD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Επιχειρήσεις εστίασης</w:t>
            </w:r>
          </w:p>
        </w:tc>
        <w:tc>
          <w:tcPr>
            <w:tcW w:w="415" w:type="pct"/>
            <w:tcBorders>
              <w:top w:val="nil"/>
              <w:left w:val="nil"/>
              <w:bottom w:val="single" w:sz="12" w:space="0" w:color="auto"/>
              <w:right w:val="single" w:sz="4" w:space="0" w:color="auto"/>
            </w:tcBorders>
            <w:shd w:val="clear" w:color="auto" w:fill="auto"/>
            <w:noWrap/>
            <w:vAlign w:val="bottom"/>
            <w:hideMark/>
          </w:tcPr>
          <w:p w14:paraId="6894DDEB"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8,8</w:t>
            </w:r>
          </w:p>
        </w:tc>
        <w:tc>
          <w:tcPr>
            <w:tcW w:w="441" w:type="pct"/>
            <w:tcBorders>
              <w:top w:val="nil"/>
              <w:left w:val="nil"/>
              <w:bottom w:val="single" w:sz="12" w:space="0" w:color="auto"/>
              <w:right w:val="single" w:sz="4" w:space="0" w:color="auto"/>
            </w:tcBorders>
            <w:shd w:val="clear" w:color="auto" w:fill="auto"/>
            <w:noWrap/>
            <w:vAlign w:val="bottom"/>
            <w:hideMark/>
          </w:tcPr>
          <w:p w14:paraId="32125C9C"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77,9</w:t>
            </w:r>
          </w:p>
        </w:tc>
        <w:tc>
          <w:tcPr>
            <w:tcW w:w="559" w:type="pct"/>
            <w:tcBorders>
              <w:top w:val="nil"/>
              <w:left w:val="nil"/>
              <w:bottom w:val="single" w:sz="12" w:space="0" w:color="auto"/>
              <w:right w:val="double" w:sz="6" w:space="0" w:color="auto"/>
            </w:tcBorders>
            <w:shd w:val="clear" w:color="auto" w:fill="auto"/>
            <w:noWrap/>
            <w:vAlign w:val="bottom"/>
            <w:hideMark/>
          </w:tcPr>
          <w:p w14:paraId="0577972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11,8</w:t>
            </w:r>
          </w:p>
        </w:tc>
        <w:tc>
          <w:tcPr>
            <w:tcW w:w="746" w:type="pct"/>
            <w:tcBorders>
              <w:top w:val="nil"/>
              <w:left w:val="nil"/>
              <w:bottom w:val="single" w:sz="12" w:space="0" w:color="auto"/>
              <w:right w:val="single" w:sz="4" w:space="0" w:color="auto"/>
            </w:tcBorders>
            <w:shd w:val="clear" w:color="auto" w:fill="auto"/>
            <w:noWrap/>
            <w:vAlign w:val="bottom"/>
            <w:hideMark/>
          </w:tcPr>
          <w:p w14:paraId="57EE7BC6"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43,0</w:t>
            </w:r>
          </w:p>
        </w:tc>
        <w:tc>
          <w:tcPr>
            <w:tcW w:w="636" w:type="pct"/>
            <w:tcBorders>
              <w:top w:val="nil"/>
              <w:left w:val="nil"/>
              <w:bottom w:val="single" w:sz="12" w:space="0" w:color="auto"/>
              <w:right w:val="single" w:sz="4" w:space="0" w:color="auto"/>
            </w:tcBorders>
            <w:shd w:val="clear" w:color="auto" w:fill="auto"/>
            <w:noWrap/>
            <w:vAlign w:val="bottom"/>
            <w:hideMark/>
          </w:tcPr>
          <w:p w14:paraId="730F3524"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-59,4</w:t>
            </w:r>
          </w:p>
        </w:tc>
        <w:tc>
          <w:tcPr>
            <w:tcW w:w="771" w:type="pct"/>
            <w:tcBorders>
              <w:top w:val="nil"/>
              <w:left w:val="nil"/>
              <w:bottom w:val="single" w:sz="12" w:space="0" w:color="auto"/>
              <w:right w:val="single" w:sz="12" w:space="0" w:color="auto"/>
            </w:tcBorders>
            <w:shd w:val="clear" w:color="auto" w:fill="auto"/>
            <w:noWrap/>
            <w:vAlign w:val="bottom"/>
            <w:hideMark/>
          </w:tcPr>
          <w:p w14:paraId="29769A98" w14:textId="77777777" w:rsidR="003B2986" w:rsidRPr="00E36734" w:rsidRDefault="003B2986" w:rsidP="003B2986">
            <w:pPr>
              <w:spacing w:after="0" w:line="240" w:lineRule="auto"/>
              <w:jc w:val="center"/>
              <w:rPr>
                <w:rFonts w:ascii="Calibri" w:eastAsia="Times New Roman" w:hAnsi="Calibri" w:cs="Calibri"/>
                <w:color w:val="000000"/>
                <w:sz w:val="18"/>
                <w:szCs w:val="18"/>
                <w:lang w:val="en-US"/>
              </w:rPr>
            </w:pPr>
            <w:r w:rsidRPr="00E36734">
              <w:rPr>
                <w:rFonts w:ascii="Calibri" w:eastAsia="Times New Roman" w:hAnsi="Calibri" w:cs="Calibri"/>
                <w:color w:val="000000"/>
                <w:sz w:val="18"/>
                <w:szCs w:val="18"/>
                <w:lang w:val="en-US"/>
              </w:rPr>
              <w:t>-44,2</w:t>
            </w:r>
          </w:p>
        </w:tc>
      </w:tr>
    </w:tbl>
    <w:p w14:paraId="76E712BC" w14:textId="77777777" w:rsidR="00A9257F" w:rsidRPr="00E36734" w:rsidRDefault="00A9257F" w:rsidP="00761263">
      <w:pPr>
        <w:spacing w:after="0" w:line="360" w:lineRule="auto"/>
        <w:jc w:val="both"/>
        <w:rPr>
          <w:rFonts w:ascii="Times New Roman" w:hAnsi="Times New Roman" w:cs="Times New Roman"/>
          <w:sz w:val="24"/>
          <w:szCs w:val="24"/>
        </w:rPr>
      </w:pPr>
    </w:p>
    <w:p w14:paraId="07138580" w14:textId="77777777" w:rsidR="00A417BC" w:rsidRPr="00E36734" w:rsidRDefault="00A417BC" w:rsidP="00761263">
      <w:pPr>
        <w:spacing w:after="0" w:line="360" w:lineRule="auto"/>
        <w:jc w:val="both"/>
        <w:rPr>
          <w:rFonts w:ascii="Times New Roman" w:hAnsi="Times New Roman" w:cs="Times New Roman"/>
          <w:b/>
          <w:sz w:val="24"/>
          <w:szCs w:val="24"/>
          <w:u w:val="single"/>
        </w:rPr>
      </w:pPr>
    </w:p>
    <w:p w14:paraId="5C394BEC" w14:textId="77777777" w:rsidR="00274A97" w:rsidRPr="00E36734" w:rsidRDefault="00274A97" w:rsidP="00A417BC">
      <w:pPr>
        <w:spacing w:after="0" w:line="360" w:lineRule="auto"/>
        <w:jc w:val="both"/>
        <w:rPr>
          <w:rFonts w:ascii="Times New Roman" w:hAnsi="Times New Roman" w:cs="Times New Roman"/>
          <w:b/>
          <w:sz w:val="24"/>
          <w:szCs w:val="24"/>
          <w:u w:val="single"/>
        </w:rPr>
      </w:pPr>
    </w:p>
    <w:p w14:paraId="5205AAB7" w14:textId="77777777" w:rsidR="00274A97" w:rsidRPr="00E36734" w:rsidRDefault="00274A97" w:rsidP="00A417BC">
      <w:pPr>
        <w:spacing w:after="0" w:line="360" w:lineRule="auto"/>
        <w:jc w:val="both"/>
        <w:rPr>
          <w:rFonts w:ascii="Times New Roman" w:hAnsi="Times New Roman" w:cs="Times New Roman"/>
          <w:b/>
          <w:sz w:val="24"/>
          <w:szCs w:val="24"/>
          <w:u w:val="single"/>
        </w:rPr>
      </w:pPr>
    </w:p>
    <w:p w14:paraId="5EE4DA05" w14:textId="77777777" w:rsidR="00274A97" w:rsidRPr="00E36734" w:rsidRDefault="00274A97" w:rsidP="00A417BC">
      <w:pPr>
        <w:spacing w:after="0" w:line="360" w:lineRule="auto"/>
        <w:jc w:val="both"/>
        <w:rPr>
          <w:rFonts w:ascii="Times New Roman" w:hAnsi="Times New Roman" w:cs="Times New Roman"/>
          <w:b/>
          <w:sz w:val="24"/>
          <w:szCs w:val="24"/>
          <w:u w:val="single"/>
        </w:rPr>
      </w:pPr>
    </w:p>
    <w:p w14:paraId="6B997CB8" w14:textId="2F891814" w:rsidR="00A417BC" w:rsidRPr="00E36734" w:rsidRDefault="00A417BC" w:rsidP="00A417BC">
      <w:pPr>
        <w:spacing w:after="0" w:line="360" w:lineRule="auto"/>
        <w:jc w:val="both"/>
        <w:rPr>
          <w:rFonts w:ascii="Times New Roman" w:hAnsi="Times New Roman" w:cs="Times New Roman"/>
          <w:b/>
          <w:sz w:val="24"/>
          <w:szCs w:val="24"/>
          <w:u w:val="single"/>
        </w:rPr>
      </w:pPr>
      <w:r w:rsidRPr="00E36734">
        <w:rPr>
          <w:rFonts w:ascii="Times New Roman" w:hAnsi="Times New Roman" w:cs="Times New Roman"/>
          <w:b/>
          <w:sz w:val="24"/>
          <w:szCs w:val="24"/>
          <w:u w:val="single"/>
        </w:rPr>
        <w:t>Ετήσιος τζίρος - Κερδοφορία</w:t>
      </w:r>
    </w:p>
    <w:p w14:paraId="206471A9" w14:textId="315688CE" w:rsidR="00D25A9C" w:rsidRPr="00E36734" w:rsidRDefault="00D25A9C" w:rsidP="00A417BC">
      <w:pPr>
        <w:spacing w:after="0" w:line="360" w:lineRule="auto"/>
        <w:jc w:val="both"/>
        <w:rPr>
          <w:rFonts w:ascii="Times New Roman" w:hAnsi="Times New Roman" w:cs="Times New Roman"/>
          <w:sz w:val="24"/>
          <w:szCs w:val="24"/>
        </w:rPr>
      </w:pPr>
      <w:bookmarkStart w:id="9" w:name="_Hlk68246108"/>
      <w:r w:rsidRPr="00E36734">
        <w:rPr>
          <w:rFonts w:ascii="Times New Roman" w:hAnsi="Times New Roman" w:cs="Times New Roman"/>
          <w:sz w:val="24"/>
          <w:szCs w:val="24"/>
        </w:rPr>
        <w:t xml:space="preserve">Η </w:t>
      </w:r>
      <w:r w:rsidR="00854D7F" w:rsidRPr="00E36734">
        <w:rPr>
          <w:rFonts w:ascii="Times New Roman" w:hAnsi="Times New Roman" w:cs="Times New Roman"/>
          <w:sz w:val="24"/>
          <w:szCs w:val="24"/>
        </w:rPr>
        <w:t>κατακρήμνιση</w:t>
      </w:r>
      <w:r w:rsidRPr="00E36734">
        <w:rPr>
          <w:rFonts w:ascii="Times New Roman" w:hAnsi="Times New Roman" w:cs="Times New Roman"/>
          <w:sz w:val="24"/>
          <w:szCs w:val="24"/>
        </w:rPr>
        <w:t xml:space="preserve"> του </w:t>
      </w:r>
      <w:r w:rsidR="00854D7F" w:rsidRPr="00E36734">
        <w:rPr>
          <w:rFonts w:ascii="Times New Roman" w:hAnsi="Times New Roman" w:cs="Times New Roman"/>
          <w:sz w:val="24"/>
          <w:szCs w:val="24"/>
        </w:rPr>
        <w:t>κύκλου</w:t>
      </w:r>
      <w:r w:rsidRPr="00E36734">
        <w:rPr>
          <w:rFonts w:ascii="Times New Roman" w:hAnsi="Times New Roman" w:cs="Times New Roman"/>
          <w:sz w:val="24"/>
          <w:szCs w:val="24"/>
        </w:rPr>
        <w:t xml:space="preserve"> εργασιών του μεγαλύτερου μέρους των μικρών και πολύ μικρών επιχειρήσεων που συντελέστηκε μέσα σε λιγότερο από 1 έτος φαίνεται </w:t>
      </w:r>
      <w:r w:rsidRPr="00E36734">
        <w:rPr>
          <w:rFonts w:ascii="Times New Roman" w:hAnsi="Times New Roman" w:cs="Times New Roman"/>
          <w:strike/>
          <w:sz w:val="24"/>
          <w:szCs w:val="24"/>
        </w:rPr>
        <w:t>καθαρά</w:t>
      </w:r>
      <w:r w:rsidRPr="00E36734">
        <w:rPr>
          <w:rFonts w:ascii="Times New Roman" w:hAnsi="Times New Roman" w:cs="Times New Roman"/>
          <w:sz w:val="24"/>
          <w:szCs w:val="24"/>
        </w:rPr>
        <w:t xml:space="preserve"> συγκρίνοντας τα σχετικά μεγέθη μεταξύ των ετών 2020 και 2019.</w:t>
      </w:r>
    </w:p>
    <w:p w14:paraId="5D655C56" w14:textId="3A09F78F" w:rsidR="00854D7F" w:rsidRPr="00E36734" w:rsidRDefault="00854D7F"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Όπως φαίνεται στο </w:t>
      </w:r>
      <w:r w:rsidR="00274A97" w:rsidRPr="00E36734">
        <w:rPr>
          <w:rFonts w:ascii="Times New Roman" w:hAnsi="Times New Roman" w:cs="Times New Roman"/>
          <w:sz w:val="24"/>
          <w:szCs w:val="24"/>
        </w:rPr>
        <w:t>Γ</w:t>
      </w:r>
      <w:r w:rsidRPr="00E36734">
        <w:rPr>
          <w:rFonts w:ascii="Times New Roman" w:hAnsi="Times New Roman" w:cs="Times New Roman"/>
          <w:sz w:val="24"/>
          <w:szCs w:val="24"/>
        </w:rPr>
        <w:t xml:space="preserve">ράφημα </w:t>
      </w:r>
      <w:r w:rsidR="00274A97" w:rsidRPr="00E36734">
        <w:rPr>
          <w:rFonts w:ascii="Times New Roman" w:hAnsi="Times New Roman" w:cs="Times New Roman"/>
          <w:sz w:val="24"/>
          <w:szCs w:val="24"/>
        </w:rPr>
        <w:t>7</w:t>
      </w:r>
      <w:r w:rsidRPr="00E36734">
        <w:rPr>
          <w:rFonts w:ascii="Times New Roman" w:hAnsi="Times New Roman" w:cs="Times New Roman"/>
          <w:sz w:val="24"/>
          <w:szCs w:val="24"/>
        </w:rPr>
        <w:t xml:space="preserve"> οι επιχειρήσεις που δηλώνουν ετήσιο τζίρο κάτω από 50.000€ αυξήθηκαν το 2020 σε σχέση με το 2019 κατά 10 ποσοστιαίες μονάδες. Αύξηση καταγράφεται επίσης στις επιχειρήσεις που δηλώνουν ετήσιο τζίρο από 50.000 έως 100.000 €. Από την άλλη μεριά όσο μεγαλώνει ο ετήσιος τζίρος μειώνεται το αντίστοιχο ποσοστό των επιχειρήσεων.  </w:t>
      </w:r>
    </w:p>
    <w:p w14:paraId="40E8BAA9" w14:textId="45352C56" w:rsidR="00B77B52" w:rsidRPr="00E36734" w:rsidRDefault="00B77B52"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Συγκεκριμένα, οι επιχειρήσεις που δήλωσαν ετήσιο τζίρο κάτω από 50.000 € αντιστοιχούν στο 44,6% των μικρών και πολύ μικρών επιχειρήσεων έναντι του 34,1% που ήταν το 2019. </w:t>
      </w:r>
      <w:r w:rsidR="00274A97" w:rsidRPr="00E36734">
        <w:rPr>
          <w:rFonts w:ascii="Times New Roman" w:hAnsi="Times New Roman" w:cs="Times New Roman"/>
          <w:sz w:val="24"/>
          <w:szCs w:val="24"/>
        </w:rPr>
        <w:t>Επιπλέον,</w:t>
      </w:r>
      <w:r w:rsidRPr="00E36734">
        <w:rPr>
          <w:rFonts w:ascii="Times New Roman" w:hAnsi="Times New Roman" w:cs="Times New Roman"/>
          <w:sz w:val="24"/>
          <w:szCs w:val="24"/>
        </w:rPr>
        <w:t xml:space="preserve"> το 18,6% δήλωσε ετήσιο τζίρο το 2020 από 50.000 έως 100.000 € έναντι 15,9% </w:t>
      </w:r>
      <w:r w:rsidR="00274A97" w:rsidRPr="00E36734">
        <w:rPr>
          <w:rFonts w:ascii="Times New Roman" w:hAnsi="Times New Roman" w:cs="Times New Roman"/>
          <w:sz w:val="24"/>
          <w:szCs w:val="24"/>
        </w:rPr>
        <w:t xml:space="preserve">που ήταν </w:t>
      </w:r>
      <w:r w:rsidRPr="00E36734">
        <w:rPr>
          <w:rFonts w:ascii="Times New Roman" w:hAnsi="Times New Roman" w:cs="Times New Roman"/>
          <w:sz w:val="24"/>
          <w:szCs w:val="24"/>
        </w:rPr>
        <w:t xml:space="preserve">2019, το 14,4% </w:t>
      </w:r>
      <w:r w:rsidR="003726B2" w:rsidRPr="00E36734">
        <w:rPr>
          <w:rFonts w:ascii="Times New Roman" w:hAnsi="Times New Roman" w:cs="Times New Roman"/>
          <w:sz w:val="24"/>
          <w:szCs w:val="24"/>
        </w:rPr>
        <w:t xml:space="preserve">δήλωσε </w:t>
      </w:r>
      <w:r w:rsidR="00274A97" w:rsidRPr="00E36734">
        <w:rPr>
          <w:rFonts w:ascii="Times New Roman" w:hAnsi="Times New Roman" w:cs="Times New Roman"/>
          <w:sz w:val="24"/>
          <w:szCs w:val="24"/>
        </w:rPr>
        <w:t xml:space="preserve">ετήσιο τζίρο </w:t>
      </w:r>
      <w:r w:rsidR="003726B2" w:rsidRPr="00E36734">
        <w:rPr>
          <w:rFonts w:ascii="Times New Roman" w:hAnsi="Times New Roman" w:cs="Times New Roman"/>
          <w:sz w:val="24"/>
          <w:szCs w:val="24"/>
        </w:rPr>
        <w:t xml:space="preserve">από </w:t>
      </w:r>
      <w:r w:rsidRPr="00E36734">
        <w:rPr>
          <w:rFonts w:ascii="Times New Roman" w:hAnsi="Times New Roman" w:cs="Times New Roman"/>
          <w:sz w:val="24"/>
          <w:szCs w:val="24"/>
        </w:rPr>
        <w:t xml:space="preserve">100.000 έως 300.000 € έναντι 19,9% </w:t>
      </w:r>
      <w:r w:rsidR="003726B2" w:rsidRPr="00E36734">
        <w:rPr>
          <w:rFonts w:ascii="Times New Roman" w:hAnsi="Times New Roman" w:cs="Times New Roman"/>
          <w:sz w:val="24"/>
          <w:szCs w:val="24"/>
        </w:rPr>
        <w:t xml:space="preserve">που ήταν </w:t>
      </w:r>
      <w:r w:rsidRPr="00E36734">
        <w:rPr>
          <w:rFonts w:ascii="Times New Roman" w:hAnsi="Times New Roman" w:cs="Times New Roman"/>
          <w:sz w:val="24"/>
          <w:szCs w:val="24"/>
        </w:rPr>
        <w:t xml:space="preserve">το 2019, το 5,7% </w:t>
      </w:r>
      <w:r w:rsidR="003726B2" w:rsidRPr="00E36734">
        <w:rPr>
          <w:rFonts w:ascii="Times New Roman" w:hAnsi="Times New Roman" w:cs="Times New Roman"/>
          <w:sz w:val="24"/>
          <w:szCs w:val="24"/>
        </w:rPr>
        <w:t xml:space="preserve">δήλωσε ετήσιο τζίρο από </w:t>
      </w:r>
      <w:r w:rsidRPr="00E36734">
        <w:rPr>
          <w:rFonts w:ascii="Times New Roman" w:hAnsi="Times New Roman" w:cs="Times New Roman"/>
          <w:sz w:val="24"/>
          <w:szCs w:val="24"/>
        </w:rPr>
        <w:t xml:space="preserve">300.000 έως 500.000 € </w:t>
      </w:r>
      <w:r w:rsidR="00BC259B" w:rsidRPr="00E36734">
        <w:rPr>
          <w:rFonts w:ascii="Times New Roman" w:hAnsi="Times New Roman" w:cs="Times New Roman"/>
          <w:sz w:val="24"/>
          <w:szCs w:val="24"/>
        </w:rPr>
        <w:t>έναντι</w:t>
      </w:r>
      <w:r w:rsidRPr="00E36734">
        <w:rPr>
          <w:rFonts w:ascii="Times New Roman" w:hAnsi="Times New Roman" w:cs="Times New Roman"/>
          <w:sz w:val="24"/>
          <w:szCs w:val="24"/>
        </w:rPr>
        <w:t xml:space="preserve"> του 8,7% </w:t>
      </w:r>
      <w:r w:rsidR="003726B2" w:rsidRPr="00E36734">
        <w:rPr>
          <w:rFonts w:ascii="Times New Roman" w:hAnsi="Times New Roman" w:cs="Times New Roman"/>
          <w:sz w:val="24"/>
          <w:szCs w:val="24"/>
        </w:rPr>
        <w:t xml:space="preserve">που ήταν </w:t>
      </w:r>
      <w:r w:rsidRPr="00E36734">
        <w:rPr>
          <w:rFonts w:ascii="Times New Roman" w:hAnsi="Times New Roman" w:cs="Times New Roman"/>
          <w:sz w:val="24"/>
          <w:szCs w:val="24"/>
        </w:rPr>
        <w:t xml:space="preserve">το 2019, το 4,2% </w:t>
      </w:r>
      <w:r w:rsidR="003726B2" w:rsidRPr="00E36734">
        <w:rPr>
          <w:rFonts w:ascii="Times New Roman" w:hAnsi="Times New Roman" w:cs="Times New Roman"/>
          <w:sz w:val="24"/>
          <w:szCs w:val="24"/>
        </w:rPr>
        <w:t xml:space="preserve">δήλωσε ετήσιο τζίρο από </w:t>
      </w:r>
      <w:r w:rsidRPr="00E36734">
        <w:rPr>
          <w:rFonts w:ascii="Times New Roman" w:hAnsi="Times New Roman" w:cs="Times New Roman"/>
          <w:sz w:val="24"/>
          <w:szCs w:val="24"/>
        </w:rPr>
        <w:t xml:space="preserve">500.000 έως 1.000.000 € έναντι 5,1% το 2019 και το 7,2% </w:t>
      </w:r>
      <w:r w:rsidR="003726B2" w:rsidRPr="00E36734">
        <w:rPr>
          <w:rFonts w:ascii="Times New Roman" w:hAnsi="Times New Roman" w:cs="Times New Roman"/>
          <w:sz w:val="24"/>
          <w:szCs w:val="24"/>
        </w:rPr>
        <w:t xml:space="preserve">δήλωσε </w:t>
      </w:r>
      <w:r w:rsidRPr="00E36734">
        <w:rPr>
          <w:rFonts w:ascii="Times New Roman" w:hAnsi="Times New Roman" w:cs="Times New Roman"/>
          <w:sz w:val="24"/>
          <w:szCs w:val="24"/>
        </w:rPr>
        <w:t xml:space="preserve">ετήσιο τζίρο πάνω από 1 εκατομμύριο ευρώ έναντι του 8,2% </w:t>
      </w:r>
      <w:r w:rsidR="003726B2" w:rsidRPr="00E36734">
        <w:rPr>
          <w:rFonts w:ascii="Times New Roman" w:hAnsi="Times New Roman" w:cs="Times New Roman"/>
          <w:sz w:val="24"/>
          <w:szCs w:val="24"/>
        </w:rPr>
        <w:t xml:space="preserve">που ήταν </w:t>
      </w:r>
      <w:r w:rsidRPr="00E36734">
        <w:rPr>
          <w:rFonts w:ascii="Times New Roman" w:hAnsi="Times New Roman" w:cs="Times New Roman"/>
          <w:sz w:val="24"/>
          <w:szCs w:val="24"/>
        </w:rPr>
        <w:t>το 2019.</w:t>
      </w:r>
    </w:p>
    <w:p w14:paraId="4D9013A6" w14:textId="7802352E" w:rsidR="00B77B52" w:rsidRPr="00E36734" w:rsidRDefault="00B77B52"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Από τα επιμέρους στοιχεία οι μεγαλύτερες συγκεντρώσεις επιχειρήσεις στην χαμηλότερη κατηγορία ετήσιου τζίρου, δηλαδή κάτω από 50.000 €, παρατηρούνται στις υπηρεσίες (58,2%) στις επιχειρήσεις χωρίς προσωπικό (75,2%) και στις επιχειρήσεις που ανέστειλαν τη λειτουργία τους με κρατική εντολή (52,9%).</w:t>
      </w:r>
    </w:p>
    <w:bookmarkEnd w:id="9"/>
    <w:p w14:paraId="4F26A115" w14:textId="77777777" w:rsidR="00D25A9C" w:rsidRPr="00E36734" w:rsidRDefault="00D25A9C" w:rsidP="00A417BC">
      <w:pPr>
        <w:spacing w:after="0" w:line="360" w:lineRule="auto"/>
        <w:jc w:val="both"/>
        <w:rPr>
          <w:rFonts w:ascii="Times New Roman" w:hAnsi="Times New Roman" w:cs="Times New Roman"/>
          <w:sz w:val="24"/>
          <w:szCs w:val="24"/>
        </w:rPr>
      </w:pPr>
    </w:p>
    <w:p w14:paraId="1AEE02C4" w14:textId="77777777" w:rsidR="00D25A9C" w:rsidRPr="00E36734" w:rsidRDefault="00D25A9C" w:rsidP="00A417BC">
      <w:pPr>
        <w:spacing w:after="0" w:line="360" w:lineRule="auto"/>
        <w:jc w:val="both"/>
        <w:rPr>
          <w:rFonts w:ascii="Times New Roman" w:hAnsi="Times New Roman" w:cs="Times New Roman"/>
          <w:sz w:val="24"/>
          <w:szCs w:val="24"/>
        </w:rPr>
      </w:pPr>
    </w:p>
    <w:p w14:paraId="1429ED3A" w14:textId="42D94123" w:rsidR="00D25A9C" w:rsidRPr="00E36734" w:rsidRDefault="00D25A9C" w:rsidP="00A417BC">
      <w:pPr>
        <w:spacing w:after="0" w:line="360" w:lineRule="auto"/>
        <w:jc w:val="both"/>
        <w:rPr>
          <w:rFonts w:ascii="Times New Roman" w:hAnsi="Times New Roman" w:cs="Times New Roman"/>
          <w:sz w:val="24"/>
          <w:szCs w:val="24"/>
        </w:rPr>
      </w:pPr>
      <w:r w:rsidRPr="00E36734">
        <w:rPr>
          <w:noProof/>
          <w:lang w:eastAsia="el-GR"/>
        </w:rPr>
        <w:drawing>
          <wp:inline distT="0" distB="0" distL="0" distR="0" wp14:anchorId="23A4BACD" wp14:editId="065128DF">
            <wp:extent cx="6499860" cy="2880360"/>
            <wp:effectExtent l="0" t="0" r="15240" b="15240"/>
            <wp:docPr id="1" name="Γράφημα 1">
              <a:extLst xmlns:a="http://schemas.openxmlformats.org/drawingml/2006/main">
                <a:ext uri="{FF2B5EF4-FFF2-40B4-BE49-F238E27FC236}">
                  <a16:creationId xmlns:a16="http://schemas.microsoft.com/office/drawing/2014/main" id="{AB914BEA-5232-43BC-B996-80B076443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6EC9D2" w14:textId="1BDB2CA2" w:rsidR="00D25A9C" w:rsidRPr="00E36734" w:rsidRDefault="00D25A9C" w:rsidP="00A417BC">
      <w:pPr>
        <w:spacing w:after="0" w:line="360" w:lineRule="auto"/>
        <w:jc w:val="both"/>
        <w:rPr>
          <w:rFonts w:ascii="Times New Roman" w:hAnsi="Times New Roman" w:cs="Times New Roman"/>
          <w:sz w:val="24"/>
          <w:szCs w:val="24"/>
        </w:rPr>
      </w:pPr>
    </w:p>
    <w:p w14:paraId="424C1067" w14:textId="7346FC00" w:rsidR="00F76EE1" w:rsidRPr="00E36734" w:rsidRDefault="00F76EE1" w:rsidP="00A417BC">
      <w:pPr>
        <w:spacing w:after="0" w:line="360" w:lineRule="auto"/>
        <w:jc w:val="both"/>
        <w:rPr>
          <w:rFonts w:ascii="Times New Roman" w:hAnsi="Times New Roman" w:cs="Times New Roman"/>
          <w:sz w:val="24"/>
          <w:szCs w:val="24"/>
        </w:rPr>
      </w:pPr>
      <w:bookmarkStart w:id="10" w:name="_Hlk68246135"/>
      <w:r w:rsidRPr="00E36734">
        <w:rPr>
          <w:rFonts w:ascii="Times New Roman" w:hAnsi="Times New Roman" w:cs="Times New Roman"/>
          <w:sz w:val="24"/>
          <w:szCs w:val="24"/>
        </w:rPr>
        <w:t xml:space="preserve">Όσον αφορά τις επιχειρήσεις εστίασης </w:t>
      </w:r>
      <w:r w:rsidR="00B158EC" w:rsidRPr="00E36734">
        <w:rPr>
          <w:rFonts w:ascii="Times New Roman" w:hAnsi="Times New Roman" w:cs="Times New Roman"/>
          <w:sz w:val="24"/>
          <w:szCs w:val="24"/>
        </w:rPr>
        <w:t>α</w:t>
      </w:r>
      <w:r w:rsidRPr="00E36734">
        <w:rPr>
          <w:rFonts w:ascii="Times New Roman" w:hAnsi="Times New Roman" w:cs="Times New Roman"/>
          <w:sz w:val="24"/>
          <w:szCs w:val="24"/>
        </w:rPr>
        <w:t>πό τα ευρήματα</w:t>
      </w:r>
      <w:r w:rsidR="00B158EC" w:rsidRPr="00E36734">
        <w:rPr>
          <w:rFonts w:ascii="Times New Roman" w:hAnsi="Times New Roman" w:cs="Times New Roman"/>
          <w:sz w:val="24"/>
          <w:szCs w:val="24"/>
        </w:rPr>
        <w:t xml:space="preserve"> της έρευνας</w:t>
      </w:r>
      <w:r w:rsidRPr="00E36734">
        <w:rPr>
          <w:rFonts w:ascii="Times New Roman" w:hAnsi="Times New Roman" w:cs="Times New Roman"/>
          <w:sz w:val="24"/>
          <w:szCs w:val="24"/>
        </w:rPr>
        <w:t xml:space="preserve"> φαίνεται πως έχουν </w:t>
      </w:r>
      <w:r w:rsidR="00B158EC" w:rsidRPr="00E36734">
        <w:rPr>
          <w:rFonts w:ascii="Times New Roman" w:hAnsi="Times New Roman" w:cs="Times New Roman"/>
          <w:sz w:val="24"/>
          <w:szCs w:val="24"/>
        </w:rPr>
        <w:t>υπερ</w:t>
      </w:r>
      <w:r w:rsidRPr="00E36734">
        <w:rPr>
          <w:rFonts w:ascii="Times New Roman" w:hAnsi="Times New Roman" w:cs="Times New Roman"/>
          <w:sz w:val="24"/>
          <w:szCs w:val="24"/>
        </w:rPr>
        <w:t>διπλασιαστεί οι επιχειρήσεις που δηλώνουν ετήσιο κύκλο εργασιών κάτω από 50.000 €</w:t>
      </w:r>
      <w:r w:rsidR="00B158EC" w:rsidRPr="00E36734">
        <w:rPr>
          <w:rFonts w:ascii="Times New Roman" w:hAnsi="Times New Roman" w:cs="Times New Roman"/>
          <w:sz w:val="24"/>
          <w:szCs w:val="24"/>
        </w:rPr>
        <w:t>. Από το</w:t>
      </w:r>
      <w:r w:rsidRPr="00E36734">
        <w:rPr>
          <w:rFonts w:ascii="Times New Roman" w:hAnsi="Times New Roman" w:cs="Times New Roman"/>
          <w:sz w:val="24"/>
          <w:szCs w:val="24"/>
        </w:rPr>
        <w:t xml:space="preserve"> </w:t>
      </w:r>
      <w:r w:rsidR="00B158EC" w:rsidRPr="00E36734">
        <w:rPr>
          <w:rFonts w:ascii="Times New Roman" w:hAnsi="Times New Roman" w:cs="Times New Roman"/>
          <w:sz w:val="24"/>
          <w:szCs w:val="24"/>
        </w:rPr>
        <w:t xml:space="preserve">23,1% που ήταν το 2019 ανήλθε στο 48,5 το ποσοστό των επιχειρήσεων του κλάδου που δήλωσε πως ο ετήσιος τζίρος του το 2020 ήταν κάτω από 50.000 €. </w:t>
      </w:r>
    </w:p>
    <w:p w14:paraId="053E7F52" w14:textId="0CCBC906" w:rsidR="00FA1CB8" w:rsidRPr="00E36734" w:rsidRDefault="00FA1CB8"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Ανάλογα είναι και τα στοιχεία σχετικά με τον ισολογισμό (έσοδα – έξοδα) των μικρών και πολύ μικρών επιχειρήσεων. Όπως φαίνεται στο Γράφημα</w:t>
      </w:r>
      <w:r w:rsidR="003726B2" w:rsidRPr="00E36734">
        <w:rPr>
          <w:rFonts w:ascii="Times New Roman" w:hAnsi="Times New Roman" w:cs="Times New Roman"/>
          <w:sz w:val="24"/>
          <w:szCs w:val="24"/>
        </w:rPr>
        <w:t xml:space="preserve"> 8</w:t>
      </w:r>
      <w:r w:rsidRPr="00E36734">
        <w:rPr>
          <w:rFonts w:ascii="Times New Roman" w:hAnsi="Times New Roman" w:cs="Times New Roman"/>
          <w:sz w:val="24"/>
          <w:szCs w:val="24"/>
        </w:rPr>
        <w:t xml:space="preserve"> </w:t>
      </w:r>
      <w:r w:rsidR="003726B2" w:rsidRPr="00E36734">
        <w:rPr>
          <w:rFonts w:ascii="Times New Roman" w:hAnsi="Times New Roman" w:cs="Times New Roman"/>
          <w:sz w:val="24"/>
          <w:szCs w:val="24"/>
        </w:rPr>
        <w:t>σ</w:t>
      </w:r>
      <w:r w:rsidRPr="00E36734">
        <w:rPr>
          <w:rFonts w:ascii="Times New Roman" w:hAnsi="Times New Roman" w:cs="Times New Roman"/>
          <w:sz w:val="24"/>
          <w:szCs w:val="24"/>
        </w:rPr>
        <w:t xml:space="preserve">χεδόν </w:t>
      </w:r>
      <w:bookmarkStart w:id="11" w:name="_Hlk68074872"/>
      <w:r w:rsidRPr="00E36734">
        <w:rPr>
          <w:rFonts w:ascii="Times New Roman" w:hAnsi="Times New Roman" w:cs="Times New Roman"/>
          <w:sz w:val="24"/>
          <w:szCs w:val="24"/>
        </w:rPr>
        <w:t>διπλασιάστηκαν οι επιχειρήσεις που</w:t>
      </w:r>
      <w:r w:rsidR="00E22D6F" w:rsidRPr="00E36734">
        <w:rPr>
          <w:rFonts w:ascii="Times New Roman" w:hAnsi="Times New Roman" w:cs="Times New Roman"/>
          <w:sz w:val="24"/>
          <w:szCs w:val="24"/>
        </w:rPr>
        <w:t xml:space="preserve"> το 2020</w:t>
      </w:r>
      <w:r w:rsidRPr="00E36734">
        <w:rPr>
          <w:rFonts w:ascii="Times New Roman" w:hAnsi="Times New Roman" w:cs="Times New Roman"/>
          <w:sz w:val="24"/>
          <w:szCs w:val="24"/>
        </w:rPr>
        <w:t xml:space="preserve"> σε σύγκριση με το 2019 </w:t>
      </w:r>
      <w:r w:rsidR="00E22D6F" w:rsidRPr="00E36734">
        <w:rPr>
          <w:rFonts w:ascii="Times New Roman" w:hAnsi="Times New Roman" w:cs="Times New Roman"/>
          <w:sz w:val="24"/>
          <w:szCs w:val="24"/>
        </w:rPr>
        <w:t>κατέγραψαν</w:t>
      </w:r>
      <w:r w:rsidRPr="00E36734">
        <w:rPr>
          <w:rFonts w:ascii="Times New Roman" w:hAnsi="Times New Roman" w:cs="Times New Roman"/>
          <w:sz w:val="24"/>
          <w:szCs w:val="24"/>
        </w:rPr>
        <w:t xml:space="preserve"> ζημιές</w:t>
      </w:r>
      <w:r w:rsidR="008A710D" w:rsidRPr="00E36734">
        <w:rPr>
          <w:rFonts w:ascii="Times New Roman" w:hAnsi="Times New Roman" w:cs="Times New Roman"/>
          <w:sz w:val="24"/>
          <w:szCs w:val="24"/>
        </w:rPr>
        <w:t xml:space="preserve"> (47,8% από 27,6%)</w:t>
      </w:r>
      <w:r w:rsidRPr="00E36734">
        <w:rPr>
          <w:rFonts w:ascii="Times New Roman" w:hAnsi="Times New Roman" w:cs="Times New Roman"/>
          <w:sz w:val="24"/>
          <w:szCs w:val="24"/>
        </w:rPr>
        <w:t>, ενώ</w:t>
      </w:r>
      <w:r w:rsidR="008A710D" w:rsidRPr="00E36734">
        <w:rPr>
          <w:rFonts w:ascii="Times New Roman" w:hAnsi="Times New Roman" w:cs="Times New Roman"/>
          <w:sz w:val="24"/>
          <w:szCs w:val="24"/>
        </w:rPr>
        <w:t xml:space="preserve"> υποδιπλασιάστηκαν οι επιχειρήσεις που κατέγραψαν κέρδη (27,3% το 2020 από 55,2% το 2019).</w:t>
      </w:r>
      <w:bookmarkEnd w:id="11"/>
    </w:p>
    <w:bookmarkEnd w:id="10"/>
    <w:p w14:paraId="1A5FB6B7" w14:textId="77777777" w:rsidR="00BC259B" w:rsidRPr="00E36734" w:rsidRDefault="00BC259B" w:rsidP="00A417BC">
      <w:pPr>
        <w:spacing w:after="0" w:line="360" w:lineRule="auto"/>
        <w:jc w:val="both"/>
        <w:rPr>
          <w:rFonts w:ascii="Times New Roman" w:hAnsi="Times New Roman" w:cs="Times New Roman"/>
          <w:sz w:val="24"/>
          <w:szCs w:val="24"/>
        </w:rPr>
      </w:pPr>
    </w:p>
    <w:p w14:paraId="194F6A3C" w14:textId="77777777" w:rsidR="00BC259B" w:rsidRPr="00E36734" w:rsidRDefault="00BC259B" w:rsidP="00A417BC">
      <w:pPr>
        <w:spacing w:after="0" w:line="360" w:lineRule="auto"/>
        <w:jc w:val="both"/>
        <w:rPr>
          <w:rFonts w:ascii="Times New Roman" w:hAnsi="Times New Roman" w:cs="Times New Roman"/>
          <w:sz w:val="24"/>
          <w:szCs w:val="24"/>
        </w:rPr>
      </w:pPr>
    </w:p>
    <w:p w14:paraId="2F7A05E9" w14:textId="0CCACCB2" w:rsidR="003726B2" w:rsidRPr="00E36734" w:rsidRDefault="003726B2" w:rsidP="00B158EC">
      <w:pPr>
        <w:spacing w:after="0" w:line="360" w:lineRule="auto"/>
        <w:jc w:val="center"/>
        <w:rPr>
          <w:rFonts w:ascii="Times New Roman" w:hAnsi="Times New Roman" w:cs="Times New Roman"/>
          <w:b/>
          <w:bCs/>
          <w:sz w:val="24"/>
          <w:szCs w:val="24"/>
        </w:rPr>
      </w:pPr>
      <w:r w:rsidRPr="00E36734">
        <w:rPr>
          <w:rFonts w:ascii="Times New Roman" w:hAnsi="Times New Roman" w:cs="Times New Roman"/>
          <w:b/>
          <w:bCs/>
          <w:sz w:val="24"/>
          <w:szCs w:val="24"/>
        </w:rPr>
        <w:t>Γράφημα 8</w:t>
      </w:r>
    </w:p>
    <w:p w14:paraId="4D9D54EC" w14:textId="23F2AA3F" w:rsidR="00B158EC" w:rsidRPr="00E36734" w:rsidRDefault="00B158EC" w:rsidP="00B158EC">
      <w:pPr>
        <w:spacing w:after="0" w:line="360" w:lineRule="auto"/>
        <w:jc w:val="center"/>
        <w:rPr>
          <w:rFonts w:ascii="Times New Roman" w:hAnsi="Times New Roman" w:cs="Times New Roman"/>
          <w:b/>
          <w:bCs/>
          <w:sz w:val="24"/>
          <w:szCs w:val="24"/>
        </w:rPr>
      </w:pPr>
      <w:r w:rsidRPr="00E36734">
        <w:rPr>
          <w:rFonts w:ascii="Times New Roman" w:hAnsi="Times New Roman" w:cs="Times New Roman"/>
          <w:b/>
          <w:bCs/>
          <w:sz w:val="24"/>
          <w:szCs w:val="24"/>
        </w:rPr>
        <w:t>ΣΥΚΡΙΣΗ ΙΣΟΛΟΓΙΣΜΩΝ (ΕΣΟΔΑ – ΕΞΟΔΑ) 2 ΤΕΛΕΥΤΑΙΩΝ ΕΤΩΝ</w:t>
      </w:r>
    </w:p>
    <w:p w14:paraId="4225673B" w14:textId="27CFC76A" w:rsidR="00BC259B" w:rsidRPr="00E36734" w:rsidRDefault="00B158EC" w:rsidP="00B158EC">
      <w:pPr>
        <w:spacing w:after="0" w:line="360" w:lineRule="auto"/>
        <w:jc w:val="center"/>
        <w:rPr>
          <w:rFonts w:ascii="Times New Roman" w:hAnsi="Times New Roman" w:cs="Times New Roman"/>
          <w:b/>
          <w:bCs/>
          <w:sz w:val="24"/>
          <w:szCs w:val="24"/>
        </w:rPr>
      </w:pPr>
      <w:r w:rsidRPr="00E36734">
        <w:rPr>
          <w:rFonts w:ascii="Times New Roman" w:hAnsi="Times New Roman" w:cs="Times New Roman"/>
          <w:b/>
          <w:bCs/>
          <w:sz w:val="24"/>
          <w:szCs w:val="24"/>
        </w:rPr>
        <w:t>ΣΥΓΚΡΙΤΙΚΟ ΓΡΑΦΗΜΑ</w:t>
      </w:r>
    </w:p>
    <w:p w14:paraId="0D8DF34A" w14:textId="14CBD907" w:rsidR="00BC259B" w:rsidRPr="00E36734" w:rsidRDefault="00B158EC"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noProof/>
          <w:sz w:val="24"/>
          <w:szCs w:val="24"/>
          <w:lang w:eastAsia="el-GR"/>
        </w:rPr>
        <w:drawing>
          <wp:inline distT="0" distB="0" distL="0" distR="0" wp14:anchorId="6B519A1D" wp14:editId="163C5EFA">
            <wp:extent cx="6570980" cy="4176395"/>
            <wp:effectExtent l="0" t="0" r="1270" b="14605"/>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BD8AA4F" w14:textId="7C28BDBA" w:rsidR="00BC259B" w:rsidRPr="00E36734" w:rsidRDefault="008A710D"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Οι μεγαλύτερες συγκεντρώσεις </w:t>
      </w:r>
      <w:r w:rsidR="00344F20" w:rsidRPr="00E36734">
        <w:rPr>
          <w:rFonts w:ascii="Times New Roman" w:hAnsi="Times New Roman" w:cs="Times New Roman"/>
          <w:sz w:val="24"/>
          <w:szCs w:val="24"/>
        </w:rPr>
        <w:t>ανά</w:t>
      </w:r>
      <w:r w:rsidRPr="00E36734">
        <w:rPr>
          <w:rFonts w:ascii="Times New Roman" w:hAnsi="Times New Roman" w:cs="Times New Roman"/>
          <w:sz w:val="24"/>
          <w:szCs w:val="24"/>
        </w:rPr>
        <w:t xml:space="preserve"> κατηγορία επιχειρήσεων που παρουσίασαν ζημιές το 2020 παρατηρούνται στις Υπηρεσίες (50,8%), και στις επιχειρήσεις με ετήσιο τζίρο κάτω από 50.000 € (59,4%).</w:t>
      </w:r>
    </w:p>
    <w:p w14:paraId="27FA75FF" w14:textId="44FE2B2F" w:rsidR="008A710D" w:rsidRPr="00E36734" w:rsidRDefault="008A710D" w:rsidP="00A417BC">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lastRenderedPageBreak/>
        <w:t>Επιπλέον</w:t>
      </w:r>
      <w:r w:rsidR="00547F34" w:rsidRPr="00E36734">
        <w:rPr>
          <w:rFonts w:ascii="Times New Roman" w:hAnsi="Times New Roman" w:cs="Times New Roman"/>
          <w:sz w:val="24"/>
          <w:szCs w:val="24"/>
        </w:rPr>
        <w:t>,</w:t>
      </w:r>
      <w:r w:rsidRPr="00E36734">
        <w:rPr>
          <w:rFonts w:ascii="Times New Roman" w:hAnsi="Times New Roman" w:cs="Times New Roman"/>
          <w:sz w:val="24"/>
          <w:szCs w:val="24"/>
        </w:rPr>
        <w:t xml:space="preserve"> όπως φαίνεται στον Πίνακα </w:t>
      </w:r>
      <w:r w:rsidR="003726B2" w:rsidRPr="00E36734">
        <w:rPr>
          <w:rFonts w:ascii="Times New Roman" w:hAnsi="Times New Roman" w:cs="Times New Roman"/>
          <w:sz w:val="24"/>
          <w:szCs w:val="24"/>
        </w:rPr>
        <w:t>3</w:t>
      </w:r>
      <w:r w:rsidR="00547F34" w:rsidRPr="00E36734">
        <w:rPr>
          <w:rFonts w:ascii="Times New Roman" w:hAnsi="Times New Roman" w:cs="Times New Roman"/>
          <w:sz w:val="24"/>
          <w:szCs w:val="24"/>
        </w:rPr>
        <w:t>,</w:t>
      </w:r>
      <w:r w:rsidRPr="00E36734">
        <w:rPr>
          <w:rFonts w:ascii="Times New Roman" w:hAnsi="Times New Roman" w:cs="Times New Roman"/>
          <w:sz w:val="24"/>
          <w:szCs w:val="24"/>
        </w:rPr>
        <w:t xml:space="preserve"> με ζημιές έκλεισε το 2020 για το 66,5% των επιχειρήσεων που ανέστειλαν την λειτουργία τους με κρατική εντολή</w:t>
      </w:r>
      <w:r w:rsidR="00FD445D" w:rsidRPr="00E36734">
        <w:rPr>
          <w:rFonts w:ascii="Times New Roman" w:hAnsi="Times New Roman" w:cs="Times New Roman"/>
          <w:sz w:val="24"/>
          <w:szCs w:val="24"/>
        </w:rPr>
        <w:t xml:space="preserve">, και </w:t>
      </w:r>
      <w:r w:rsidR="003726B2" w:rsidRPr="00E36734">
        <w:rPr>
          <w:rFonts w:ascii="Times New Roman" w:hAnsi="Times New Roman" w:cs="Times New Roman"/>
          <w:sz w:val="24"/>
          <w:szCs w:val="24"/>
        </w:rPr>
        <w:t xml:space="preserve">για </w:t>
      </w:r>
      <w:r w:rsidR="00FD445D" w:rsidRPr="00E36734">
        <w:rPr>
          <w:rFonts w:ascii="Times New Roman" w:hAnsi="Times New Roman" w:cs="Times New Roman"/>
          <w:sz w:val="24"/>
          <w:szCs w:val="24"/>
        </w:rPr>
        <w:t xml:space="preserve">το 69,1% των επιχειρήσεων εστίασης. </w:t>
      </w:r>
    </w:p>
    <w:p w14:paraId="7DDC3CF9" w14:textId="77777777" w:rsidR="008A710D" w:rsidRPr="00E36734" w:rsidRDefault="008A710D" w:rsidP="00A417BC">
      <w:pPr>
        <w:spacing w:after="0"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35"/>
        <w:gridCol w:w="2226"/>
        <w:gridCol w:w="2096"/>
        <w:gridCol w:w="2204"/>
        <w:gridCol w:w="2204"/>
      </w:tblGrid>
      <w:tr w:rsidR="00FD445D" w:rsidRPr="00E36734" w14:paraId="45F9D0CC" w14:textId="79B5FF91" w:rsidTr="00FD445D">
        <w:trPr>
          <w:trHeight w:val="528"/>
        </w:trPr>
        <w:tc>
          <w:tcPr>
            <w:tcW w:w="789" w:type="pct"/>
            <w:vMerge w:val="restart"/>
            <w:shd w:val="clear" w:color="auto" w:fill="FDEADA"/>
            <w:tcMar>
              <w:top w:w="12" w:type="dxa"/>
              <w:left w:w="12" w:type="dxa"/>
              <w:bottom w:w="0" w:type="dxa"/>
              <w:right w:w="12" w:type="dxa"/>
            </w:tcMar>
            <w:vAlign w:val="center"/>
            <w:hideMark/>
          </w:tcPr>
          <w:p w14:paraId="027F6504" w14:textId="6C52F516" w:rsidR="003726B2" w:rsidRPr="00E36734" w:rsidRDefault="003726B2" w:rsidP="00FD445D">
            <w:pPr>
              <w:spacing w:after="0" w:line="240" w:lineRule="auto"/>
              <w:jc w:val="center"/>
              <w:rPr>
                <w:rFonts w:eastAsia="Times New Roman" w:cstheme="minorHAnsi"/>
                <w:b/>
                <w:bCs/>
                <w:sz w:val="20"/>
                <w:szCs w:val="20"/>
              </w:rPr>
            </w:pPr>
            <w:r w:rsidRPr="00E36734">
              <w:rPr>
                <w:rFonts w:eastAsia="Times New Roman" w:cstheme="minorHAnsi"/>
                <w:b/>
                <w:bCs/>
                <w:sz w:val="20"/>
                <w:szCs w:val="20"/>
              </w:rPr>
              <w:t>Πίνακας 3</w:t>
            </w:r>
          </w:p>
          <w:p w14:paraId="45913465" w14:textId="77777777" w:rsidR="003726B2" w:rsidRPr="00E36734" w:rsidRDefault="003726B2" w:rsidP="00FD445D">
            <w:pPr>
              <w:spacing w:after="0" w:line="240" w:lineRule="auto"/>
              <w:jc w:val="center"/>
              <w:rPr>
                <w:rFonts w:eastAsia="Times New Roman" w:cstheme="minorHAnsi"/>
                <w:b/>
                <w:bCs/>
                <w:sz w:val="20"/>
                <w:szCs w:val="20"/>
              </w:rPr>
            </w:pPr>
          </w:p>
          <w:p w14:paraId="2B899F64" w14:textId="3BF6B4B5" w:rsidR="00FD445D" w:rsidRPr="00E36734" w:rsidRDefault="00FD445D" w:rsidP="00FD445D">
            <w:pPr>
              <w:spacing w:after="0" w:line="240" w:lineRule="auto"/>
              <w:jc w:val="center"/>
              <w:rPr>
                <w:rFonts w:eastAsia="Times New Roman" w:cstheme="minorHAnsi"/>
                <w:sz w:val="18"/>
                <w:szCs w:val="18"/>
                <w:lang w:val="en-US"/>
              </w:rPr>
            </w:pPr>
            <w:r w:rsidRPr="00E36734">
              <w:rPr>
                <w:rFonts w:eastAsia="Times New Roman" w:cstheme="minorHAnsi"/>
                <w:sz w:val="18"/>
                <w:szCs w:val="18"/>
                <w:lang w:val="en-US"/>
              </w:rPr>
              <w:t>Ισολογισμός</w:t>
            </w:r>
          </w:p>
          <w:p w14:paraId="55A806FA" w14:textId="77777777" w:rsidR="00FD445D" w:rsidRPr="00E36734" w:rsidRDefault="00FD445D" w:rsidP="00FD445D">
            <w:pPr>
              <w:spacing w:after="0" w:line="240" w:lineRule="auto"/>
              <w:jc w:val="center"/>
              <w:rPr>
                <w:rFonts w:eastAsia="Times New Roman" w:cstheme="minorHAnsi"/>
                <w:sz w:val="18"/>
                <w:szCs w:val="18"/>
                <w:lang w:val="en-US"/>
              </w:rPr>
            </w:pPr>
            <w:r w:rsidRPr="00E36734">
              <w:rPr>
                <w:rFonts w:eastAsia="Times New Roman" w:cstheme="minorHAnsi"/>
                <w:sz w:val="18"/>
                <w:szCs w:val="18"/>
                <w:lang w:val="en-US"/>
              </w:rPr>
              <w:t xml:space="preserve">(έσοδα – έξοδα) </w:t>
            </w:r>
          </w:p>
          <w:p w14:paraId="1486E997" w14:textId="2BA0DF6C" w:rsidR="00FD445D" w:rsidRPr="00E36734" w:rsidRDefault="00FD445D" w:rsidP="00FD445D">
            <w:pPr>
              <w:spacing w:after="0" w:line="240" w:lineRule="auto"/>
              <w:jc w:val="center"/>
              <w:rPr>
                <w:rFonts w:eastAsia="Times New Roman" w:cstheme="minorHAnsi"/>
                <w:sz w:val="18"/>
                <w:szCs w:val="18"/>
                <w:lang w:val="en-US"/>
              </w:rPr>
            </w:pPr>
            <w:r w:rsidRPr="00E36734">
              <w:rPr>
                <w:rFonts w:eastAsia="Times New Roman" w:cstheme="minorHAnsi"/>
                <w:sz w:val="18"/>
                <w:szCs w:val="18"/>
                <w:lang w:val="en-US"/>
              </w:rPr>
              <w:t>2020</w:t>
            </w:r>
          </w:p>
        </w:tc>
        <w:tc>
          <w:tcPr>
            <w:tcW w:w="3147" w:type="pct"/>
            <w:gridSpan w:val="3"/>
            <w:shd w:val="clear" w:color="auto" w:fill="FDEADA"/>
            <w:tcMar>
              <w:top w:w="12" w:type="dxa"/>
              <w:left w:w="12" w:type="dxa"/>
              <w:bottom w:w="0" w:type="dxa"/>
              <w:right w:w="12" w:type="dxa"/>
            </w:tcMar>
            <w:vAlign w:val="center"/>
            <w:hideMark/>
          </w:tcPr>
          <w:p w14:paraId="16BC0433" w14:textId="77777777" w:rsidR="00FD445D" w:rsidRPr="00E36734" w:rsidRDefault="00FD445D" w:rsidP="00FD445D">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Επιχειρήσεις που το τελευταίο εξάμηνο...</w:t>
            </w:r>
          </w:p>
        </w:tc>
        <w:tc>
          <w:tcPr>
            <w:tcW w:w="1063" w:type="pct"/>
            <w:vMerge w:val="restart"/>
            <w:shd w:val="clear" w:color="auto" w:fill="FDEADA"/>
          </w:tcPr>
          <w:p w14:paraId="75D60920"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p>
          <w:p w14:paraId="569F7984"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p>
          <w:p w14:paraId="561D4868"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p>
          <w:p w14:paraId="3FB73789" w14:textId="3F05A1CF"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Επιχειρήσεις </w:t>
            </w:r>
          </w:p>
          <w:p w14:paraId="561A53FD" w14:textId="72DA5603"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εστίασης</w:t>
            </w:r>
          </w:p>
        </w:tc>
      </w:tr>
      <w:tr w:rsidR="00FD445D" w:rsidRPr="00E36734" w14:paraId="1AAD47F2" w14:textId="4B14E38E" w:rsidTr="00FD445D">
        <w:trPr>
          <w:trHeight w:val="1183"/>
        </w:trPr>
        <w:tc>
          <w:tcPr>
            <w:tcW w:w="789" w:type="pct"/>
            <w:vMerge/>
            <w:shd w:val="clear" w:color="auto" w:fill="FDEADA"/>
            <w:tcMar>
              <w:top w:w="12" w:type="dxa"/>
              <w:left w:w="12" w:type="dxa"/>
              <w:bottom w:w="0" w:type="dxa"/>
              <w:right w:w="12" w:type="dxa"/>
            </w:tcMar>
            <w:vAlign w:val="center"/>
            <w:hideMark/>
          </w:tcPr>
          <w:p w14:paraId="1BCC0BC3" w14:textId="77777777" w:rsidR="00FD445D" w:rsidRPr="00E36734" w:rsidRDefault="00FD445D" w:rsidP="00FD445D">
            <w:pPr>
              <w:spacing w:after="0" w:line="240" w:lineRule="auto"/>
              <w:rPr>
                <w:rFonts w:eastAsia="Times New Roman" w:cstheme="minorHAnsi"/>
                <w:sz w:val="18"/>
                <w:szCs w:val="18"/>
              </w:rPr>
            </w:pPr>
          </w:p>
        </w:tc>
        <w:tc>
          <w:tcPr>
            <w:tcW w:w="1074" w:type="pct"/>
            <w:shd w:val="clear" w:color="auto" w:fill="FDEADA"/>
            <w:tcMar>
              <w:top w:w="12" w:type="dxa"/>
              <w:left w:w="12" w:type="dxa"/>
              <w:bottom w:w="0" w:type="dxa"/>
              <w:right w:w="12" w:type="dxa"/>
            </w:tcMar>
            <w:vAlign w:val="center"/>
            <w:hideMark/>
          </w:tcPr>
          <w:p w14:paraId="618B80F2"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ανέστειλαν την </w:t>
            </w:r>
          </w:p>
          <w:p w14:paraId="5C538FE5"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δραστηριότητα τους </w:t>
            </w:r>
          </w:p>
          <w:p w14:paraId="7DEBEFA8" w14:textId="3FDEAB04" w:rsidR="00FD445D" w:rsidRPr="00E36734" w:rsidRDefault="00FD445D" w:rsidP="00FD445D">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με κρατική εντολή</w:t>
            </w:r>
          </w:p>
        </w:tc>
        <w:tc>
          <w:tcPr>
            <w:tcW w:w="1011" w:type="pct"/>
            <w:shd w:val="clear" w:color="auto" w:fill="FDEADA"/>
            <w:tcMar>
              <w:top w:w="12" w:type="dxa"/>
              <w:left w:w="12" w:type="dxa"/>
              <w:bottom w:w="0" w:type="dxa"/>
              <w:right w:w="12" w:type="dxa"/>
            </w:tcMar>
            <w:vAlign w:val="center"/>
            <w:hideMark/>
          </w:tcPr>
          <w:p w14:paraId="5A9B8C42"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ανήκαν στις </w:t>
            </w:r>
          </w:p>
          <w:p w14:paraId="432FFF1F"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πληττόμενες βάσει </w:t>
            </w:r>
          </w:p>
          <w:p w14:paraId="5F560C98" w14:textId="1C60A894" w:rsidR="00FD445D" w:rsidRPr="00E36734" w:rsidRDefault="00FD445D" w:rsidP="00FD445D">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ΚΑΔ επιχειρήσεις</w:t>
            </w:r>
          </w:p>
        </w:tc>
        <w:tc>
          <w:tcPr>
            <w:tcW w:w="1063" w:type="pct"/>
            <w:shd w:val="clear" w:color="auto" w:fill="FDEADA"/>
            <w:tcMar>
              <w:top w:w="12" w:type="dxa"/>
              <w:left w:w="12" w:type="dxa"/>
              <w:bottom w:w="0" w:type="dxa"/>
              <w:right w:w="12" w:type="dxa"/>
            </w:tcMar>
            <w:vAlign w:val="center"/>
            <w:hideMark/>
          </w:tcPr>
          <w:p w14:paraId="79383CA0"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Δεν ανήκαν σε καμία </w:t>
            </w:r>
          </w:p>
          <w:p w14:paraId="032E1A22" w14:textId="19AE9101" w:rsidR="00FD445D" w:rsidRPr="00E36734" w:rsidRDefault="00FD445D" w:rsidP="00FD445D">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από τις παρακείμενες κατηγορίες</w:t>
            </w:r>
          </w:p>
        </w:tc>
        <w:tc>
          <w:tcPr>
            <w:tcW w:w="1063" w:type="pct"/>
            <w:vMerge/>
            <w:shd w:val="clear" w:color="auto" w:fill="FDEADA"/>
          </w:tcPr>
          <w:p w14:paraId="7B6AA5D5" w14:textId="77777777"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p>
        </w:tc>
      </w:tr>
      <w:tr w:rsidR="00FD445D" w:rsidRPr="00E36734" w14:paraId="45AF58E4" w14:textId="4568E81F" w:rsidTr="00FD445D">
        <w:trPr>
          <w:trHeight w:val="528"/>
        </w:trPr>
        <w:tc>
          <w:tcPr>
            <w:tcW w:w="789" w:type="pct"/>
            <w:shd w:val="clear" w:color="auto" w:fill="FFFFFF"/>
            <w:tcMar>
              <w:top w:w="12" w:type="dxa"/>
              <w:left w:w="12" w:type="dxa"/>
              <w:bottom w:w="0" w:type="dxa"/>
              <w:right w:w="12" w:type="dxa"/>
            </w:tcMar>
            <w:vAlign w:val="center"/>
            <w:hideMark/>
          </w:tcPr>
          <w:p w14:paraId="04ADCE3C" w14:textId="77777777" w:rsidR="00FD445D" w:rsidRPr="00E36734" w:rsidRDefault="00FD445D" w:rsidP="00FD445D">
            <w:pPr>
              <w:spacing w:after="0" w:line="240" w:lineRule="auto"/>
              <w:textAlignment w:val="bottom"/>
              <w:rPr>
                <w:rFonts w:eastAsia="Times New Roman" w:cstheme="minorHAnsi"/>
                <w:sz w:val="18"/>
                <w:szCs w:val="18"/>
                <w:lang w:val="en-US"/>
              </w:rPr>
            </w:pPr>
            <w:r w:rsidRPr="00E36734">
              <w:rPr>
                <w:rFonts w:eastAsia="Microsoft JhengHei UI" w:cstheme="minorHAnsi"/>
                <w:color w:val="000000"/>
                <w:kern w:val="24"/>
                <w:sz w:val="18"/>
                <w:szCs w:val="18"/>
              </w:rPr>
              <w:t>Με Ζημιές</w:t>
            </w:r>
          </w:p>
        </w:tc>
        <w:tc>
          <w:tcPr>
            <w:tcW w:w="1074" w:type="pct"/>
            <w:shd w:val="clear" w:color="auto" w:fill="FFFFFF"/>
            <w:tcMar>
              <w:top w:w="12" w:type="dxa"/>
              <w:left w:w="12" w:type="dxa"/>
              <w:bottom w:w="0" w:type="dxa"/>
              <w:right w:w="12" w:type="dxa"/>
            </w:tcMar>
            <w:vAlign w:val="center"/>
            <w:hideMark/>
          </w:tcPr>
          <w:p w14:paraId="1ACD8A92"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b/>
                <w:bCs/>
                <w:color w:val="000000"/>
                <w:kern w:val="24"/>
                <w:sz w:val="18"/>
                <w:szCs w:val="18"/>
                <w:lang w:val="en-US"/>
              </w:rPr>
              <w:t>66.5</w:t>
            </w:r>
          </w:p>
        </w:tc>
        <w:tc>
          <w:tcPr>
            <w:tcW w:w="1011" w:type="pct"/>
            <w:shd w:val="clear" w:color="auto" w:fill="FFFFFF"/>
            <w:tcMar>
              <w:top w:w="12" w:type="dxa"/>
              <w:left w:w="12" w:type="dxa"/>
              <w:bottom w:w="0" w:type="dxa"/>
              <w:right w:w="12" w:type="dxa"/>
            </w:tcMar>
            <w:vAlign w:val="center"/>
            <w:hideMark/>
          </w:tcPr>
          <w:p w14:paraId="5A49D469"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b/>
                <w:bCs/>
                <w:color w:val="000000"/>
                <w:kern w:val="24"/>
                <w:sz w:val="18"/>
                <w:szCs w:val="18"/>
                <w:lang w:val="en-US"/>
              </w:rPr>
              <w:t>46.4</w:t>
            </w:r>
          </w:p>
        </w:tc>
        <w:tc>
          <w:tcPr>
            <w:tcW w:w="1063" w:type="pct"/>
            <w:shd w:val="clear" w:color="auto" w:fill="FFFFFF"/>
            <w:tcMar>
              <w:top w:w="12" w:type="dxa"/>
              <w:left w:w="12" w:type="dxa"/>
              <w:bottom w:w="0" w:type="dxa"/>
              <w:right w:w="12" w:type="dxa"/>
            </w:tcMar>
            <w:vAlign w:val="center"/>
            <w:hideMark/>
          </w:tcPr>
          <w:p w14:paraId="5D66A406"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31.7</w:t>
            </w:r>
          </w:p>
        </w:tc>
        <w:tc>
          <w:tcPr>
            <w:tcW w:w="1063" w:type="pct"/>
            <w:shd w:val="clear" w:color="auto" w:fill="FFFFFF"/>
            <w:vAlign w:val="center"/>
          </w:tcPr>
          <w:p w14:paraId="649DBDF5" w14:textId="0BA8710A" w:rsidR="00FD445D" w:rsidRPr="00E36734" w:rsidRDefault="00FD445D" w:rsidP="00FD445D">
            <w:pPr>
              <w:spacing w:after="0" w:line="240" w:lineRule="auto"/>
              <w:jc w:val="center"/>
              <w:textAlignment w:val="center"/>
              <w:rPr>
                <w:rFonts w:eastAsia="Microsoft JhengHei UI" w:cstheme="minorHAnsi"/>
                <w:b/>
                <w:bCs/>
                <w:color w:val="000000"/>
                <w:kern w:val="24"/>
                <w:sz w:val="18"/>
                <w:szCs w:val="18"/>
              </w:rPr>
            </w:pPr>
            <w:r w:rsidRPr="00E36734">
              <w:rPr>
                <w:rFonts w:eastAsia="Microsoft JhengHei UI" w:cstheme="minorHAnsi"/>
                <w:b/>
                <w:bCs/>
                <w:color w:val="000000"/>
                <w:kern w:val="24"/>
                <w:sz w:val="18"/>
                <w:szCs w:val="18"/>
              </w:rPr>
              <w:t>69.1</w:t>
            </w:r>
          </w:p>
        </w:tc>
      </w:tr>
      <w:tr w:rsidR="00FD445D" w:rsidRPr="00E36734" w14:paraId="414A3A7C" w14:textId="128D51E6" w:rsidTr="00FD445D">
        <w:trPr>
          <w:trHeight w:val="528"/>
        </w:trPr>
        <w:tc>
          <w:tcPr>
            <w:tcW w:w="789" w:type="pct"/>
            <w:shd w:val="clear" w:color="auto" w:fill="FFFFFF"/>
            <w:tcMar>
              <w:top w:w="12" w:type="dxa"/>
              <w:left w:w="12" w:type="dxa"/>
              <w:bottom w:w="0" w:type="dxa"/>
              <w:right w:w="12" w:type="dxa"/>
            </w:tcMar>
            <w:vAlign w:val="center"/>
            <w:hideMark/>
          </w:tcPr>
          <w:p w14:paraId="72F1ED14" w14:textId="645DE6DD" w:rsidR="00FD445D" w:rsidRPr="00E36734" w:rsidRDefault="00FD445D" w:rsidP="00FD445D">
            <w:pPr>
              <w:spacing w:after="0" w:line="240" w:lineRule="auto"/>
              <w:textAlignment w:val="bottom"/>
              <w:rPr>
                <w:rFonts w:eastAsia="Times New Roman" w:cstheme="minorHAnsi"/>
                <w:sz w:val="18"/>
                <w:szCs w:val="18"/>
                <w:lang w:val="en-US"/>
              </w:rPr>
            </w:pPr>
            <w:r w:rsidRPr="00E36734">
              <w:rPr>
                <w:rFonts w:eastAsia="Microsoft JhengHei UI" w:cstheme="minorHAnsi"/>
                <w:color w:val="000000"/>
                <w:kern w:val="24"/>
                <w:sz w:val="18"/>
                <w:szCs w:val="18"/>
              </w:rPr>
              <w:t xml:space="preserve">Μηδενικό </w:t>
            </w:r>
          </w:p>
        </w:tc>
        <w:tc>
          <w:tcPr>
            <w:tcW w:w="1074" w:type="pct"/>
            <w:shd w:val="clear" w:color="auto" w:fill="FFFFFF"/>
            <w:tcMar>
              <w:top w:w="12" w:type="dxa"/>
              <w:left w:w="12" w:type="dxa"/>
              <w:bottom w:w="0" w:type="dxa"/>
              <w:right w:w="12" w:type="dxa"/>
            </w:tcMar>
            <w:vAlign w:val="center"/>
            <w:hideMark/>
          </w:tcPr>
          <w:p w14:paraId="462118B1"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14.1</w:t>
            </w:r>
          </w:p>
        </w:tc>
        <w:tc>
          <w:tcPr>
            <w:tcW w:w="1011" w:type="pct"/>
            <w:shd w:val="clear" w:color="auto" w:fill="FFFFFF"/>
            <w:tcMar>
              <w:top w:w="12" w:type="dxa"/>
              <w:left w:w="12" w:type="dxa"/>
              <w:bottom w:w="0" w:type="dxa"/>
              <w:right w:w="12" w:type="dxa"/>
            </w:tcMar>
            <w:vAlign w:val="center"/>
            <w:hideMark/>
          </w:tcPr>
          <w:p w14:paraId="7EBD2506"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16.6</w:t>
            </w:r>
          </w:p>
        </w:tc>
        <w:tc>
          <w:tcPr>
            <w:tcW w:w="1063" w:type="pct"/>
            <w:shd w:val="clear" w:color="auto" w:fill="FFFFFF"/>
            <w:tcMar>
              <w:top w:w="12" w:type="dxa"/>
              <w:left w:w="12" w:type="dxa"/>
              <w:bottom w:w="0" w:type="dxa"/>
              <w:right w:w="12" w:type="dxa"/>
            </w:tcMar>
            <w:vAlign w:val="center"/>
            <w:hideMark/>
          </w:tcPr>
          <w:p w14:paraId="39425882"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16.9</w:t>
            </w:r>
          </w:p>
        </w:tc>
        <w:tc>
          <w:tcPr>
            <w:tcW w:w="1063" w:type="pct"/>
            <w:shd w:val="clear" w:color="auto" w:fill="FFFFFF"/>
            <w:vAlign w:val="center"/>
          </w:tcPr>
          <w:p w14:paraId="528B9BA0" w14:textId="63CB3851"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lang w:val="en-US"/>
              </w:rPr>
              <w:t>16.</w:t>
            </w:r>
            <w:r w:rsidRPr="00E36734">
              <w:rPr>
                <w:rFonts w:eastAsia="Microsoft JhengHei UI" w:cstheme="minorHAnsi"/>
                <w:color w:val="000000"/>
                <w:kern w:val="24"/>
                <w:sz w:val="18"/>
                <w:szCs w:val="18"/>
              </w:rPr>
              <w:t>2</w:t>
            </w:r>
          </w:p>
        </w:tc>
      </w:tr>
      <w:tr w:rsidR="00FD445D" w:rsidRPr="00E36734" w14:paraId="6F3AF8F1" w14:textId="50DE365F" w:rsidTr="00FD445D">
        <w:trPr>
          <w:trHeight w:val="528"/>
        </w:trPr>
        <w:tc>
          <w:tcPr>
            <w:tcW w:w="789" w:type="pct"/>
            <w:shd w:val="clear" w:color="auto" w:fill="FFFFFF"/>
            <w:tcMar>
              <w:top w:w="12" w:type="dxa"/>
              <w:left w:w="12" w:type="dxa"/>
              <w:bottom w:w="0" w:type="dxa"/>
              <w:right w:w="12" w:type="dxa"/>
            </w:tcMar>
            <w:vAlign w:val="center"/>
            <w:hideMark/>
          </w:tcPr>
          <w:p w14:paraId="57B276EB" w14:textId="77777777" w:rsidR="00FD445D" w:rsidRPr="00E36734" w:rsidRDefault="00FD445D" w:rsidP="00FD445D">
            <w:pPr>
              <w:spacing w:after="0" w:line="240" w:lineRule="auto"/>
              <w:textAlignment w:val="bottom"/>
              <w:rPr>
                <w:rFonts w:eastAsia="Times New Roman" w:cstheme="minorHAnsi"/>
                <w:sz w:val="18"/>
                <w:szCs w:val="18"/>
                <w:lang w:val="en-US"/>
              </w:rPr>
            </w:pPr>
            <w:r w:rsidRPr="00E36734">
              <w:rPr>
                <w:rFonts w:eastAsia="Microsoft JhengHei UI" w:cstheme="minorHAnsi"/>
                <w:color w:val="000000"/>
                <w:kern w:val="24"/>
                <w:sz w:val="18"/>
                <w:szCs w:val="18"/>
              </w:rPr>
              <w:t>Με κέρδη</w:t>
            </w:r>
          </w:p>
        </w:tc>
        <w:tc>
          <w:tcPr>
            <w:tcW w:w="1074" w:type="pct"/>
            <w:shd w:val="clear" w:color="auto" w:fill="FFFFFF"/>
            <w:tcMar>
              <w:top w:w="12" w:type="dxa"/>
              <w:left w:w="12" w:type="dxa"/>
              <w:bottom w:w="0" w:type="dxa"/>
              <w:right w:w="12" w:type="dxa"/>
            </w:tcMar>
            <w:vAlign w:val="center"/>
            <w:hideMark/>
          </w:tcPr>
          <w:p w14:paraId="74890756"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12.6</w:t>
            </w:r>
          </w:p>
        </w:tc>
        <w:tc>
          <w:tcPr>
            <w:tcW w:w="1011" w:type="pct"/>
            <w:shd w:val="clear" w:color="auto" w:fill="FFFFFF"/>
            <w:tcMar>
              <w:top w:w="12" w:type="dxa"/>
              <w:left w:w="12" w:type="dxa"/>
              <w:bottom w:w="0" w:type="dxa"/>
              <w:right w:w="12" w:type="dxa"/>
            </w:tcMar>
            <w:vAlign w:val="center"/>
            <w:hideMark/>
          </w:tcPr>
          <w:p w14:paraId="47EB52A5"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28</w:t>
            </w:r>
          </w:p>
        </w:tc>
        <w:tc>
          <w:tcPr>
            <w:tcW w:w="1063" w:type="pct"/>
            <w:shd w:val="clear" w:color="auto" w:fill="FFFFFF"/>
            <w:tcMar>
              <w:top w:w="12" w:type="dxa"/>
              <w:left w:w="12" w:type="dxa"/>
              <w:bottom w:w="0" w:type="dxa"/>
              <w:right w:w="12" w:type="dxa"/>
            </w:tcMar>
            <w:vAlign w:val="center"/>
            <w:hideMark/>
          </w:tcPr>
          <w:p w14:paraId="29CE6D11"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b/>
                <w:bCs/>
                <w:color w:val="000000"/>
                <w:kern w:val="24"/>
                <w:sz w:val="18"/>
                <w:szCs w:val="18"/>
                <w:lang w:val="en-US"/>
              </w:rPr>
              <w:t>41.5</w:t>
            </w:r>
          </w:p>
        </w:tc>
        <w:tc>
          <w:tcPr>
            <w:tcW w:w="1063" w:type="pct"/>
            <w:shd w:val="clear" w:color="auto" w:fill="FFFFFF"/>
            <w:vAlign w:val="center"/>
          </w:tcPr>
          <w:p w14:paraId="77D8ADE7" w14:textId="5AF8152C"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8.8</w:t>
            </w:r>
          </w:p>
        </w:tc>
      </w:tr>
      <w:tr w:rsidR="00FD445D" w:rsidRPr="00E36734" w14:paraId="1DEA2091" w14:textId="4E947D7D" w:rsidTr="00FD445D">
        <w:trPr>
          <w:trHeight w:val="528"/>
        </w:trPr>
        <w:tc>
          <w:tcPr>
            <w:tcW w:w="789" w:type="pct"/>
            <w:shd w:val="clear" w:color="auto" w:fill="FFFFFF"/>
            <w:tcMar>
              <w:top w:w="12" w:type="dxa"/>
              <w:left w:w="12" w:type="dxa"/>
              <w:bottom w:w="0" w:type="dxa"/>
              <w:right w:w="12" w:type="dxa"/>
            </w:tcMar>
            <w:vAlign w:val="center"/>
            <w:hideMark/>
          </w:tcPr>
          <w:p w14:paraId="446D389A" w14:textId="77777777" w:rsidR="00FD445D" w:rsidRPr="00E36734" w:rsidRDefault="00FD445D" w:rsidP="00FD445D">
            <w:pPr>
              <w:spacing w:after="0" w:line="240" w:lineRule="auto"/>
              <w:textAlignment w:val="bottom"/>
              <w:rPr>
                <w:rFonts w:eastAsia="Times New Roman" w:cstheme="minorHAnsi"/>
                <w:sz w:val="18"/>
                <w:szCs w:val="18"/>
                <w:lang w:val="en-US"/>
              </w:rPr>
            </w:pPr>
            <w:r w:rsidRPr="00E36734">
              <w:rPr>
                <w:rFonts w:eastAsia="Microsoft JhengHei UI" w:cstheme="minorHAnsi"/>
                <w:color w:val="000000"/>
                <w:kern w:val="24"/>
                <w:sz w:val="18"/>
                <w:szCs w:val="18"/>
              </w:rPr>
              <w:t>Δ.Γ/Δ.Α</w:t>
            </w:r>
          </w:p>
        </w:tc>
        <w:tc>
          <w:tcPr>
            <w:tcW w:w="1074" w:type="pct"/>
            <w:shd w:val="clear" w:color="auto" w:fill="FFFFFF"/>
            <w:tcMar>
              <w:top w:w="12" w:type="dxa"/>
              <w:left w:w="12" w:type="dxa"/>
              <w:bottom w:w="0" w:type="dxa"/>
              <w:right w:w="12" w:type="dxa"/>
            </w:tcMar>
            <w:vAlign w:val="center"/>
            <w:hideMark/>
          </w:tcPr>
          <w:p w14:paraId="2D2139F2"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6.8</w:t>
            </w:r>
          </w:p>
        </w:tc>
        <w:tc>
          <w:tcPr>
            <w:tcW w:w="1011" w:type="pct"/>
            <w:shd w:val="clear" w:color="auto" w:fill="FFFFFF"/>
            <w:tcMar>
              <w:top w:w="12" w:type="dxa"/>
              <w:left w:w="12" w:type="dxa"/>
              <w:bottom w:w="0" w:type="dxa"/>
              <w:right w:w="12" w:type="dxa"/>
            </w:tcMar>
            <w:vAlign w:val="center"/>
            <w:hideMark/>
          </w:tcPr>
          <w:p w14:paraId="6EB8D61F"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9</w:t>
            </w:r>
          </w:p>
        </w:tc>
        <w:tc>
          <w:tcPr>
            <w:tcW w:w="1063" w:type="pct"/>
            <w:shd w:val="clear" w:color="auto" w:fill="FFFFFF"/>
            <w:tcMar>
              <w:top w:w="12" w:type="dxa"/>
              <w:left w:w="12" w:type="dxa"/>
              <w:bottom w:w="0" w:type="dxa"/>
              <w:right w:w="12" w:type="dxa"/>
            </w:tcMar>
            <w:vAlign w:val="center"/>
            <w:hideMark/>
          </w:tcPr>
          <w:p w14:paraId="43FB61F7" w14:textId="77777777" w:rsidR="00FD445D" w:rsidRPr="00E36734" w:rsidRDefault="00FD445D" w:rsidP="00FD445D">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9.8</w:t>
            </w:r>
          </w:p>
        </w:tc>
        <w:tc>
          <w:tcPr>
            <w:tcW w:w="1063" w:type="pct"/>
            <w:shd w:val="clear" w:color="auto" w:fill="FFFFFF"/>
            <w:vAlign w:val="center"/>
          </w:tcPr>
          <w:p w14:paraId="319F06F1" w14:textId="7ED39934" w:rsidR="00FD445D" w:rsidRPr="00E36734" w:rsidRDefault="00FD445D" w:rsidP="00FD445D">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5.9</w:t>
            </w:r>
          </w:p>
        </w:tc>
      </w:tr>
    </w:tbl>
    <w:p w14:paraId="4066C887" w14:textId="77777777" w:rsidR="00BC259B" w:rsidRPr="00E36734" w:rsidRDefault="00BC259B" w:rsidP="00A417BC">
      <w:pPr>
        <w:spacing w:after="0" w:line="360" w:lineRule="auto"/>
        <w:jc w:val="both"/>
        <w:rPr>
          <w:rFonts w:ascii="Times New Roman" w:hAnsi="Times New Roman" w:cs="Times New Roman"/>
          <w:sz w:val="24"/>
          <w:szCs w:val="24"/>
        </w:rPr>
      </w:pPr>
    </w:p>
    <w:p w14:paraId="0A0755F5" w14:textId="77777777" w:rsidR="00BC259B" w:rsidRPr="00E36734" w:rsidRDefault="00BC259B" w:rsidP="00A417BC">
      <w:pPr>
        <w:spacing w:after="0" w:line="360" w:lineRule="auto"/>
        <w:jc w:val="both"/>
        <w:rPr>
          <w:rFonts w:ascii="Times New Roman" w:hAnsi="Times New Roman" w:cs="Times New Roman"/>
          <w:sz w:val="24"/>
          <w:szCs w:val="24"/>
        </w:rPr>
      </w:pPr>
    </w:p>
    <w:p w14:paraId="19C6AFFC" w14:textId="53F9E74B" w:rsidR="00A9257F" w:rsidRPr="00E36734" w:rsidRDefault="00A9257F" w:rsidP="00761263">
      <w:pPr>
        <w:spacing w:after="0" w:line="360" w:lineRule="auto"/>
        <w:jc w:val="both"/>
        <w:rPr>
          <w:rFonts w:ascii="Times New Roman" w:hAnsi="Times New Roman" w:cs="Times New Roman"/>
          <w:b/>
          <w:sz w:val="24"/>
          <w:szCs w:val="24"/>
          <w:u w:val="single"/>
        </w:rPr>
      </w:pPr>
      <w:r w:rsidRPr="00E36734">
        <w:rPr>
          <w:rFonts w:ascii="Times New Roman" w:hAnsi="Times New Roman" w:cs="Times New Roman"/>
          <w:b/>
          <w:sz w:val="24"/>
          <w:szCs w:val="24"/>
          <w:u w:val="single"/>
        </w:rPr>
        <w:t>Ζήτηση</w:t>
      </w:r>
      <w:r w:rsidR="004F497A" w:rsidRPr="00E36734">
        <w:rPr>
          <w:rFonts w:ascii="Times New Roman" w:hAnsi="Times New Roman" w:cs="Times New Roman"/>
          <w:b/>
          <w:sz w:val="24"/>
          <w:szCs w:val="24"/>
          <w:u w:val="single"/>
        </w:rPr>
        <w:t xml:space="preserve"> – Παραγγελίες – Τιμές </w:t>
      </w:r>
    </w:p>
    <w:p w14:paraId="5A5E3FD8" w14:textId="6691CAD5" w:rsidR="00FD445D" w:rsidRPr="00E36734" w:rsidRDefault="00A9257F" w:rsidP="00761263">
      <w:pPr>
        <w:spacing w:after="0" w:line="360" w:lineRule="auto"/>
        <w:jc w:val="both"/>
        <w:rPr>
          <w:rFonts w:ascii="Times New Roman" w:hAnsi="Times New Roman" w:cs="Times New Roman"/>
          <w:sz w:val="24"/>
          <w:szCs w:val="24"/>
        </w:rPr>
      </w:pPr>
      <w:bookmarkStart w:id="12" w:name="_Hlk68246188"/>
      <w:r w:rsidRPr="00E36734">
        <w:rPr>
          <w:rFonts w:ascii="Times New Roman" w:hAnsi="Times New Roman" w:cs="Times New Roman"/>
          <w:sz w:val="24"/>
          <w:szCs w:val="24"/>
        </w:rPr>
        <w:t xml:space="preserve">Όσον αφορά τη ζήτηση το </w:t>
      </w:r>
      <w:r w:rsidR="00FD445D" w:rsidRPr="00E36734">
        <w:rPr>
          <w:rFonts w:ascii="Times New Roman" w:hAnsi="Times New Roman" w:cs="Times New Roman"/>
          <w:sz w:val="24"/>
          <w:szCs w:val="24"/>
        </w:rPr>
        <w:t>66,8</w:t>
      </w:r>
      <w:r w:rsidRPr="00E36734">
        <w:rPr>
          <w:rFonts w:ascii="Times New Roman" w:hAnsi="Times New Roman" w:cs="Times New Roman"/>
          <w:sz w:val="24"/>
          <w:szCs w:val="24"/>
        </w:rPr>
        <w:t xml:space="preserve">% δήλωσε πως κατά το </w:t>
      </w:r>
      <w:r w:rsidR="00FD445D" w:rsidRPr="00E36734">
        <w:rPr>
          <w:rFonts w:ascii="Times New Roman" w:hAnsi="Times New Roman" w:cs="Times New Roman"/>
          <w:sz w:val="24"/>
          <w:szCs w:val="24"/>
        </w:rPr>
        <w:t xml:space="preserve">Β εξάμηνο </w:t>
      </w:r>
      <w:r w:rsidRPr="00E36734">
        <w:rPr>
          <w:rFonts w:ascii="Times New Roman" w:hAnsi="Times New Roman" w:cs="Times New Roman"/>
          <w:sz w:val="24"/>
          <w:szCs w:val="24"/>
        </w:rPr>
        <w:t>μειώθηκε</w:t>
      </w:r>
      <w:r w:rsidR="0024078D" w:rsidRPr="00E36734">
        <w:rPr>
          <w:rFonts w:ascii="Times New Roman" w:hAnsi="Times New Roman" w:cs="Times New Roman"/>
          <w:sz w:val="24"/>
          <w:szCs w:val="24"/>
        </w:rPr>
        <w:t>,</w:t>
      </w:r>
      <w:r w:rsidRPr="00E36734">
        <w:rPr>
          <w:rFonts w:ascii="Times New Roman" w:hAnsi="Times New Roman" w:cs="Times New Roman"/>
          <w:sz w:val="24"/>
          <w:szCs w:val="24"/>
        </w:rPr>
        <w:t xml:space="preserve"> έναντι του </w:t>
      </w:r>
      <w:r w:rsidR="00FD445D" w:rsidRPr="00E36734">
        <w:rPr>
          <w:rFonts w:ascii="Times New Roman" w:hAnsi="Times New Roman" w:cs="Times New Roman"/>
          <w:sz w:val="24"/>
          <w:szCs w:val="24"/>
        </w:rPr>
        <w:t>13,7</w:t>
      </w:r>
      <w:r w:rsidRPr="00E36734">
        <w:rPr>
          <w:rFonts w:ascii="Times New Roman" w:hAnsi="Times New Roman" w:cs="Times New Roman"/>
          <w:sz w:val="24"/>
          <w:szCs w:val="24"/>
        </w:rPr>
        <w:t xml:space="preserve">% που δήλωσε πως αυξήθηκε και του </w:t>
      </w:r>
      <w:r w:rsidR="00FD445D" w:rsidRPr="00E36734">
        <w:rPr>
          <w:rFonts w:ascii="Times New Roman" w:hAnsi="Times New Roman" w:cs="Times New Roman"/>
          <w:sz w:val="24"/>
          <w:szCs w:val="24"/>
        </w:rPr>
        <w:t>19,1</w:t>
      </w:r>
      <w:r w:rsidRPr="00E36734">
        <w:rPr>
          <w:rFonts w:ascii="Times New Roman" w:hAnsi="Times New Roman" w:cs="Times New Roman"/>
          <w:sz w:val="24"/>
          <w:szCs w:val="24"/>
        </w:rPr>
        <w:t>% που δήλωσε πως</w:t>
      </w:r>
      <w:r w:rsidR="00906C6F" w:rsidRPr="00E36734">
        <w:rPr>
          <w:rFonts w:ascii="Times New Roman" w:hAnsi="Times New Roman" w:cs="Times New Roman"/>
          <w:sz w:val="24"/>
          <w:szCs w:val="24"/>
        </w:rPr>
        <w:t xml:space="preserve"> παρέμεινε αμετάβλητη</w:t>
      </w:r>
      <w:r w:rsidR="00FD445D" w:rsidRPr="00E36734">
        <w:rPr>
          <w:rFonts w:ascii="Times New Roman" w:hAnsi="Times New Roman" w:cs="Times New Roman"/>
          <w:sz w:val="24"/>
          <w:szCs w:val="24"/>
        </w:rPr>
        <w:t xml:space="preserve">. </w:t>
      </w:r>
    </w:p>
    <w:p w14:paraId="765A096C" w14:textId="6E12C82D" w:rsidR="00A9257F" w:rsidRPr="00E36734" w:rsidRDefault="00FD445D"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Για τις παραγγελίες το 71,5% δήλωσε πως το Β εξάμηνο του 2020 μειώθηκαν</w:t>
      </w:r>
      <w:r w:rsidR="0024078D" w:rsidRPr="00E36734">
        <w:rPr>
          <w:rFonts w:ascii="Times New Roman" w:hAnsi="Times New Roman" w:cs="Times New Roman"/>
          <w:sz w:val="24"/>
          <w:szCs w:val="24"/>
        </w:rPr>
        <w:t>,</w:t>
      </w:r>
      <w:r w:rsidRPr="00E36734">
        <w:rPr>
          <w:rFonts w:ascii="Times New Roman" w:hAnsi="Times New Roman" w:cs="Times New Roman"/>
          <w:sz w:val="24"/>
          <w:szCs w:val="24"/>
        </w:rPr>
        <w:t xml:space="preserve"> έναντι του</w:t>
      </w:r>
      <w:r w:rsidR="00525F15" w:rsidRPr="00E36734">
        <w:rPr>
          <w:rFonts w:ascii="Times New Roman" w:hAnsi="Times New Roman" w:cs="Times New Roman"/>
          <w:sz w:val="24"/>
          <w:szCs w:val="24"/>
        </w:rPr>
        <w:t xml:space="preserve"> </w:t>
      </w:r>
      <w:r w:rsidRPr="00E36734">
        <w:rPr>
          <w:rFonts w:ascii="Times New Roman" w:hAnsi="Times New Roman" w:cs="Times New Roman"/>
          <w:sz w:val="24"/>
          <w:szCs w:val="24"/>
        </w:rPr>
        <w:t xml:space="preserve">9,2% που δήλωσε πως αυξήθηκαν και του17,7% που </w:t>
      </w:r>
      <w:r w:rsidR="0024078D" w:rsidRPr="00E36734">
        <w:rPr>
          <w:rFonts w:ascii="Times New Roman" w:hAnsi="Times New Roman" w:cs="Times New Roman"/>
          <w:sz w:val="24"/>
          <w:szCs w:val="24"/>
        </w:rPr>
        <w:t>δήλωσε πως οι</w:t>
      </w:r>
      <w:r w:rsidRPr="00E36734">
        <w:rPr>
          <w:rFonts w:ascii="Times New Roman" w:hAnsi="Times New Roman" w:cs="Times New Roman"/>
          <w:sz w:val="24"/>
          <w:szCs w:val="24"/>
        </w:rPr>
        <w:t xml:space="preserve"> παραγγελίες </w:t>
      </w:r>
      <w:r w:rsidR="0024078D" w:rsidRPr="00E36734">
        <w:rPr>
          <w:rFonts w:ascii="Times New Roman" w:hAnsi="Times New Roman" w:cs="Times New Roman"/>
          <w:sz w:val="24"/>
          <w:szCs w:val="24"/>
        </w:rPr>
        <w:t>παρέμειναν</w:t>
      </w:r>
      <w:r w:rsidRPr="00E36734">
        <w:rPr>
          <w:rFonts w:ascii="Times New Roman" w:hAnsi="Times New Roman" w:cs="Times New Roman"/>
          <w:sz w:val="24"/>
          <w:szCs w:val="24"/>
        </w:rPr>
        <w:t xml:space="preserve"> σταθερές. </w:t>
      </w:r>
      <w:r w:rsidR="00906C6F" w:rsidRPr="00E36734">
        <w:rPr>
          <w:rFonts w:ascii="Times New Roman" w:hAnsi="Times New Roman" w:cs="Times New Roman"/>
          <w:sz w:val="24"/>
          <w:szCs w:val="24"/>
        </w:rPr>
        <w:t xml:space="preserve"> </w:t>
      </w:r>
    </w:p>
    <w:p w14:paraId="2E7985CC" w14:textId="56454ADB" w:rsidR="00525F15" w:rsidRPr="00E36734" w:rsidRDefault="00525F15"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Όσον αφορά τις </w:t>
      </w:r>
      <w:r w:rsidR="003726B2" w:rsidRPr="00E36734">
        <w:rPr>
          <w:rFonts w:ascii="Times New Roman" w:hAnsi="Times New Roman" w:cs="Times New Roman"/>
          <w:sz w:val="24"/>
          <w:szCs w:val="24"/>
        </w:rPr>
        <w:t>τιμές</w:t>
      </w:r>
      <w:r w:rsidRPr="00E36734">
        <w:rPr>
          <w:rFonts w:ascii="Times New Roman" w:hAnsi="Times New Roman" w:cs="Times New Roman"/>
          <w:sz w:val="24"/>
          <w:szCs w:val="24"/>
        </w:rPr>
        <w:t xml:space="preserve"> των αγαθών/υπηρεσιών παρουσιάζουν πτωτική πορεία καθώς το 31,3% των επιχειρήσεων δήλωσε ότι μειώθηκαν</w:t>
      </w:r>
      <w:r w:rsidR="0024078D" w:rsidRPr="00E36734">
        <w:rPr>
          <w:rFonts w:ascii="Times New Roman" w:hAnsi="Times New Roman" w:cs="Times New Roman"/>
          <w:sz w:val="24"/>
          <w:szCs w:val="24"/>
        </w:rPr>
        <w:t>,</w:t>
      </w:r>
      <w:r w:rsidRPr="00E36734">
        <w:rPr>
          <w:rFonts w:ascii="Times New Roman" w:hAnsi="Times New Roman" w:cs="Times New Roman"/>
          <w:sz w:val="24"/>
          <w:szCs w:val="24"/>
        </w:rPr>
        <w:t xml:space="preserve"> έναντι μόλις του 6,6% που δήλωσε ότι αυξήθηκαν</w:t>
      </w:r>
      <w:r w:rsidR="0024078D" w:rsidRPr="00E36734">
        <w:rPr>
          <w:rFonts w:ascii="Times New Roman" w:hAnsi="Times New Roman" w:cs="Times New Roman"/>
          <w:sz w:val="24"/>
          <w:szCs w:val="24"/>
        </w:rPr>
        <w:t xml:space="preserve"> και</w:t>
      </w:r>
      <w:r w:rsidR="003726B2" w:rsidRPr="00E36734">
        <w:rPr>
          <w:rFonts w:ascii="Times New Roman" w:hAnsi="Times New Roman" w:cs="Times New Roman"/>
          <w:sz w:val="24"/>
          <w:szCs w:val="24"/>
        </w:rPr>
        <w:t xml:space="preserve"> </w:t>
      </w:r>
      <w:r w:rsidRPr="00E36734">
        <w:rPr>
          <w:rFonts w:ascii="Times New Roman" w:hAnsi="Times New Roman" w:cs="Times New Roman"/>
          <w:sz w:val="24"/>
          <w:szCs w:val="24"/>
        </w:rPr>
        <w:t>το</w:t>
      </w:r>
      <w:r w:rsidR="0024078D" w:rsidRPr="00E36734">
        <w:rPr>
          <w:rFonts w:ascii="Times New Roman" w:hAnsi="Times New Roman" w:cs="Times New Roman"/>
          <w:sz w:val="24"/>
          <w:szCs w:val="24"/>
        </w:rPr>
        <w:t>υ</w:t>
      </w:r>
      <w:r w:rsidRPr="00E36734">
        <w:rPr>
          <w:rFonts w:ascii="Times New Roman" w:hAnsi="Times New Roman" w:cs="Times New Roman"/>
          <w:sz w:val="24"/>
          <w:szCs w:val="24"/>
        </w:rPr>
        <w:t xml:space="preserve"> 61,7% </w:t>
      </w:r>
      <w:r w:rsidR="0024078D" w:rsidRPr="00E36734">
        <w:rPr>
          <w:rFonts w:ascii="Times New Roman" w:hAnsi="Times New Roman" w:cs="Times New Roman"/>
          <w:sz w:val="24"/>
          <w:szCs w:val="24"/>
        </w:rPr>
        <w:t xml:space="preserve">που </w:t>
      </w:r>
      <w:r w:rsidRPr="00E36734">
        <w:rPr>
          <w:rFonts w:ascii="Times New Roman" w:hAnsi="Times New Roman" w:cs="Times New Roman"/>
          <w:sz w:val="24"/>
          <w:szCs w:val="24"/>
        </w:rPr>
        <w:t xml:space="preserve">τις διατήρησε σταθερές. </w:t>
      </w:r>
    </w:p>
    <w:p w14:paraId="410D3852" w14:textId="039BB76A" w:rsidR="00A9257F" w:rsidRPr="00E36734" w:rsidRDefault="00A9257F"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t xml:space="preserve">Τα στοιχεία αυτά σε συνδυασμό με την μειωμένη ζήτηση αντανακλώνται </w:t>
      </w:r>
      <w:r w:rsidR="003726B2" w:rsidRPr="00E36734">
        <w:rPr>
          <w:rFonts w:ascii="Times New Roman" w:hAnsi="Times New Roman" w:cs="Times New Roman"/>
          <w:sz w:val="24"/>
          <w:szCs w:val="24"/>
        </w:rPr>
        <w:t>και από τον</w:t>
      </w:r>
      <w:r w:rsidRPr="00E36734">
        <w:rPr>
          <w:rFonts w:ascii="Times New Roman" w:hAnsi="Times New Roman" w:cs="Times New Roman"/>
          <w:sz w:val="24"/>
          <w:szCs w:val="24"/>
        </w:rPr>
        <w:t xml:space="preserve"> αρνητικό πληθωρισμό </w:t>
      </w:r>
      <w:r w:rsidR="003726B2" w:rsidRPr="00E36734">
        <w:rPr>
          <w:rFonts w:ascii="Times New Roman" w:hAnsi="Times New Roman" w:cs="Times New Roman"/>
          <w:sz w:val="24"/>
          <w:szCs w:val="24"/>
        </w:rPr>
        <w:t>-</w:t>
      </w:r>
      <w:r w:rsidR="000A0DC2" w:rsidRPr="00E36734">
        <w:rPr>
          <w:rFonts w:ascii="Times New Roman" w:hAnsi="Times New Roman" w:cs="Times New Roman"/>
          <w:sz w:val="24"/>
          <w:szCs w:val="24"/>
        </w:rPr>
        <w:t>2</w:t>
      </w:r>
      <w:r w:rsidRPr="00E36734">
        <w:rPr>
          <w:rFonts w:ascii="Times New Roman" w:hAnsi="Times New Roman" w:cs="Times New Roman"/>
          <w:sz w:val="24"/>
          <w:szCs w:val="24"/>
        </w:rPr>
        <w:t>,</w:t>
      </w:r>
      <w:r w:rsidR="00525F15" w:rsidRPr="00E36734">
        <w:rPr>
          <w:rFonts w:ascii="Times New Roman" w:hAnsi="Times New Roman" w:cs="Times New Roman"/>
          <w:sz w:val="24"/>
          <w:szCs w:val="24"/>
        </w:rPr>
        <w:t>3</w:t>
      </w:r>
      <w:r w:rsidRPr="00E36734">
        <w:rPr>
          <w:rFonts w:ascii="Times New Roman" w:hAnsi="Times New Roman" w:cs="Times New Roman"/>
          <w:sz w:val="24"/>
          <w:szCs w:val="24"/>
        </w:rPr>
        <w:t>% και την αρνητική συνολική καταναλωτική δαπάνη -</w:t>
      </w:r>
      <w:r w:rsidR="00525F15" w:rsidRPr="00E36734">
        <w:rPr>
          <w:rFonts w:ascii="Times New Roman" w:hAnsi="Times New Roman" w:cs="Times New Roman"/>
          <w:sz w:val="24"/>
          <w:szCs w:val="24"/>
        </w:rPr>
        <w:t>3,4</w:t>
      </w:r>
      <w:r w:rsidRPr="00E36734">
        <w:rPr>
          <w:rFonts w:ascii="Times New Roman" w:hAnsi="Times New Roman" w:cs="Times New Roman"/>
          <w:sz w:val="24"/>
          <w:szCs w:val="24"/>
        </w:rPr>
        <w:t xml:space="preserve">% </w:t>
      </w:r>
      <w:r w:rsidR="00525F15" w:rsidRPr="00E36734">
        <w:rPr>
          <w:rFonts w:ascii="Times New Roman" w:hAnsi="Times New Roman" w:cs="Times New Roman"/>
          <w:sz w:val="24"/>
          <w:szCs w:val="24"/>
        </w:rPr>
        <w:t>που έχει ανακοινώσει η ΕΛΣΤΑΤ για το 2020</w:t>
      </w:r>
      <w:r w:rsidR="000A0DC2" w:rsidRPr="00E36734">
        <w:rPr>
          <w:rStyle w:val="ae"/>
          <w:rFonts w:ascii="Times New Roman" w:hAnsi="Times New Roman" w:cs="Times New Roman"/>
          <w:sz w:val="24"/>
          <w:szCs w:val="24"/>
        </w:rPr>
        <w:footnoteReference w:id="2"/>
      </w:r>
      <w:r w:rsidRPr="00E36734">
        <w:rPr>
          <w:rFonts w:ascii="Times New Roman" w:hAnsi="Times New Roman" w:cs="Times New Roman"/>
          <w:sz w:val="24"/>
          <w:szCs w:val="24"/>
        </w:rPr>
        <w:t xml:space="preserve">. </w:t>
      </w:r>
    </w:p>
    <w:bookmarkEnd w:id="12"/>
    <w:p w14:paraId="057BF940" w14:textId="7299B313" w:rsidR="000A0DC2" w:rsidRPr="00E36734" w:rsidRDefault="000A0DC2" w:rsidP="00761263">
      <w:pPr>
        <w:spacing w:after="0" w:line="360" w:lineRule="auto"/>
        <w:jc w:val="both"/>
        <w:rPr>
          <w:rFonts w:ascii="Times New Roman" w:hAnsi="Times New Roman" w:cs="Times New Roman"/>
          <w:sz w:val="24"/>
          <w:szCs w:val="24"/>
        </w:rPr>
      </w:pPr>
    </w:p>
    <w:p w14:paraId="0D77C55C" w14:textId="46DB0BCD" w:rsidR="00CC546C" w:rsidRPr="00E36734" w:rsidRDefault="00CC546C" w:rsidP="00761263">
      <w:pPr>
        <w:spacing w:after="0" w:line="360" w:lineRule="auto"/>
        <w:jc w:val="both"/>
        <w:rPr>
          <w:rFonts w:ascii="Times New Roman" w:hAnsi="Times New Roman" w:cs="Times New Roman"/>
          <w:sz w:val="24"/>
          <w:szCs w:val="24"/>
        </w:rPr>
      </w:pPr>
    </w:p>
    <w:p w14:paraId="5C6085D9" w14:textId="7DFBAF85" w:rsidR="00CC546C" w:rsidRPr="00E36734" w:rsidRDefault="00CC546C" w:rsidP="00761263">
      <w:pPr>
        <w:spacing w:after="0" w:line="360" w:lineRule="auto"/>
        <w:jc w:val="both"/>
        <w:rPr>
          <w:rFonts w:ascii="Times New Roman" w:hAnsi="Times New Roman" w:cs="Times New Roman"/>
          <w:sz w:val="24"/>
          <w:szCs w:val="24"/>
        </w:rPr>
      </w:pPr>
    </w:p>
    <w:p w14:paraId="3B896B6A" w14:textId="21EAA324" w:rsidR="00CC546C" w:rsidRPr="00E36734" w:rsidRDefault="00CC546C" w:rsidP="00761263">
      <w:pPr>
        <w:spacing w:after="0" w:line="360" w:lineRule="auto"/>
        <w:jc w:val="both"/>
        <w:rPr>
          <w:rFonts w:ascii="Times New Roman" w:hAnsi="Times New Roman" w:cs="Times New Roman"/>
          <w:sz w:val="24"/>
          <w:szCs w:val="24"/>
        </w:rPr>
      </w:pPr>
    </w:p>
    <w:p w14:paraId="4181698E" w14:textId="1CBB3F62" w:rsidR="00CC546C" w:rsidRPr="00E36734" w:rsidRDefault="00CC546C" w:rsidP="00761263">
      <w:pPr>
        <w:spacing w:after="0" w:line="360" w:lineRule="auto"/>
        <w:jc w:val="both"/>
        <w:rPr>
          <w:rFonts w:ascii="Times New Roman" w:hAnsi="Times New Roman" w:cs="Times New Roman"/>
          <w:sz w:val="24"/>
          <w:szCs w:val="24"/>
        </w:rPr>
      </w:pPr>
    </w:p>
    <w:p w14:paraId="567B616D" w14:textId="77777777" w:rsidR="00CC546C" w:rsidRPr="00E36734" w:rsidRDefault="00CC546C" w:rsidP="00761263">
      <w:pPr>
        <w:spacing w:after="0" w:line="360" w:lineRule="auto"/>
        <w:jc w:val="both"/>
        <w:rPr>
          <w:rFonts w:ascii="Times New Roman" w:hAnsi="Times New Roman" w:cs="Times New Roman"/>
          <w:sz w:val="24"/>
          <w:szCs w:val="24"/>
        </w:rPr>
      </w:pPr>
    </w:p>
    <w:p w14:paraId="33366FDE" w14:textId="045024E8" w:rsidR="00906C6F" w:rsidRPr="00E36734" w:rsidRDefault="00A9257F" w:rsidP="00906C6F">
      <w:pPr>
        <w:tabs>
          <w:tab w:val="left" w:pos="4530"/>
        </w:tabs>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lastRenderedPageBreak/>
        <w:t xml:space="preserve">Γράφημα </w:t>
      </w:r>
      <w:r w:rsidR="003726B2" w:rsidRPr="00E36734">
        <w:rPr>
          <w:rFonts w:ascii="Times New Roman" w:eastAsia="Times New Roman" w:hAnsi="Times New Roman" w:cs="Times New Roman"/>
          <w:b/>
          <w:bCs/>
          <w:sz w:val="24"/>
          <w:szCs w:val="24"/>
          <w:lang w:eastAsia="el-GR"/>
        </w:rPr>
        <w:t>9</w:t>
      </w:r>
    </w:p>
    <w:p w14:paraId="4A6E5577" w14:textId="77777777" w:rsidR="00A9257F" w:rsidRPr="00E36734" w:rsidRDefault="00A9257F" w:rsidP="00906C6F">
      <w:pPr>
        <w:tabs>
          <w:tab w:val="left" w:pos="4530"/>
          <w:tab w:val="left" w:pos="6600"/>
        </w:tabs>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 xml:space="preserve">Αποτίμηση τελευταίου εξαμήνου – </w:t>
      </w:r>
      <w:r w:rsidR="00906C6F" w:rsidRPr="00E36734">
        <w:rPr>
          <w:rFonts w:ascii="Times New Roman" w:eastAsia="Times New Roman" w:hAnsi="Times New Roman" w:cs="Times New Roman"/>
          <w:b/>
          <w:bCs/>
          <w:sz w:val="24"/>
          <w:szCs w:val="24"/>
          <w:lang w:eastAsia="el-GR"/>
        </w:rPr>
        <w:t>Σ</w:t>
      </w:r>
      <w:r w:rsidRPr="00E36734">
        <w:rPr>
          <w:rFonts w:ascii="Times New Roman" w:eastAsia="Times New Roman" w:hAnsi="Times New Roman" w:cs="Times New Roman"/>
          <w:b/>
          <w:bCs/>
          <w:sz w:val="24"/>
          <w:szCs w:val="24"/>
          <w:lang w:eastAsia="el-GR"/>
        </w:rPr>
        <w:t>υγκεντρωτικοί δείκτες</w:t>
      </w:r>
    </w:p>
    <w:p w14:paraId="05D18A74" w14:textId="783B24EF" w:rsidR="00A9257F" w:rsidRPr="00E36734" w:rsidRDefault="00A9257F" w:rsidP="00761263">
      <w:pPr>
        <w:tabs>
          <w:tab w:val="left" w:pos="4530"/>
        </w:tabs>
        <w:spacing w:after="0" w:line="360" w:lineRule="auto"/>
        <w:jc w:val="both"/>
        <w:rPr>
          <w:rFonts w:ascii="Times New Roman" w:eastAsia="Times New Roman" w:hAnsi="Times New Roman" w:cs="Times New Roman"/>
          <w:b/>
          <w:bCs/>
          <w:noProof/>
          <w:sz w:val="24"/>
          <w:szCs w:val="24"/>
          <w:lang w:eastAsia="el-GR"/>
        </w:rPr>
      </w:pPr>
    </w:p>
    <w:p w14:paraId="52B93DE9" w14:textId="7173CEB0" w:rsidR="00A9257F" w:rsidRPr="00E36734" w:rsidRDefault="000A0DC2" w:rsidP="00761263">
      <w:pPr>
        <w:tabs>
          <w:tab w:val="left" w:pos="4530"/>
        </w:tabs>
        <w:spacing w:after="0" w:line="360" w:lineRule="auto"/>
        <w:jc w:val="both"/>
        <w:rPr>
          <w:rFonts w:ascii="Times New Roman" w:eastAsia="Times New Roman" w:hAnsi="Times New Roman" w:cs="Times New Roman"/>
          <w:b/>
          <w:bCs/>
          <w:noProof/>
          <w:sz w:val="24"/>
          <w:szCs w:val="24"/>
          <w:lang w:eastAsia="el-GR"/>
        </w:rPr>
      </w:pPr>
      <w:r w:rsidRPr="00E36734">
        <w:rPr>
          <w:rFonts w:ascii="Times New Roman" w:eastAsia="Times New Roman" w:hAnsi="Times New Roman" w:cs="Times New Roman"/>
          <w:b/>
          <w:bCs/>
          <w:noProof/>
          <w:sz w:val="24"/>
          <w:szCs w:val="24"/>
          <w:lang w:eastAsia="el-GR"/>
        </w:rPr>
        <w:drawing>
          <wp:inline distT="0" distB="0" distL="0" distR="0" wp14:anchorId="02CD23B6" wp14:editId="5BABECB7">
            <wp:extent cx="6570980" cy="2857500"/>
            <wp:effectExtent l="0" t="0" r="1270" b="0"/>
            <wp:docPr id="21" name="Γράφημα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7DB1B5" w14:textId="034A690D" w:rsidR="00A417BC" w:rsidRPr="00E36734" w:rsidRDefault="00A417BC" w:rsidP="00761263">
      <w:pPr>
        <w:tabs>
          <w:tab w:val="left" w:pos="4530"/>
        </w:tabs>
        <w:spacing w:after="0" w:line="360" w:lineRule="auto"/>
        <w:jc w:val="both"/>
        <w:rPr>
          <w:rFonts w:ascii="Times New Roman" w:eastAsia="Times New Roman" w:hAnsi="Times New Roman" w:cs="Times New Roman"/>
          <w:b/>
          <w:bCs/>
          <w:noProof/>
          <w:sz w:val="24"/>
          <w:szCs w:val="24"/>
          <w:lang w:eastAsia="el-GR"/>
        </w:rPr>
      </w:pPr>
    </w:p>
    <w:p w14:paraId="652A126F" w14:textId="0812CB78" w:rsidR="00A9257F" w:rsidRPr="00E36734" w:rsidRDefault="00A9257F" w:rsidP="00761263">
      <w:pPr>
        <w:spacing w:after="0" w:line="360" w:lineRule="auto"/>
        <w:jc w:val="both"/>
        <w:rPr>
          <w:rFonts w:ascii="Times New Roman" w:eastAsia="Times New Roman" w:hAnsi="Times New Roman" w:cs="Times New Roman"/>
          <w:b/>
          <w:bCs/>
          <w:noProof/>
          <w:sz w:val="24"/>
          <w:szCs w:val="24"/>
          <w:u w:val="single"/>
          <w:lang w:eastAsia="el-GR"/>
        </w:rPr>
      </w:pPr>
      <w:r w:rsidRPr="00E36734">
        <w:rPr>
          <w:rFonts w:ascii="Times New Roman" w:eastAsia="Times New Roman" w:hAnsi="Times New Roman" w:cs="Times New Roman"/>
          <w:b/>
          <w:bCs/>
          <w:noProof/>
          <w:sz w:val="24"/>
          <w:szCs w:val="24"/>
          <w:u w:val="single"/>
          <w:lang w:eastAsia="el-GR"/>
        </w:rPr>
        <w:t xml:space="preserve">Ρευστότητα – </w:t>
      </w:r>
      <w:r w:rsidR="00694711" w:rsidRPr="00E36734">
        <w:rPr>
          <w:rFonts w:ascii="Times New Roman" w:eastAsia="Times New Roman" w:hAnsi="Times New Roman" w:cs="Times New Roman"/>
          <w:b/>
          <w:bCs/>
          <w:noProof/>
          <w:sz w:val="24"/>
          <w:szCs w:val="24"/>
          <w:u w:val="single"/>
          <w:lang w:eastAsia="el-GR"/>
        </w:rPr>
        <w:t xml:space="preserve">Ταμειακά διαθέσιμα </w:t>
      </w:r>
    </w:p>
    <w:p w14:paraId="324E1429" w14:textId="0A5D3896" w:rsidR="00425E4A" w:rsidRPr="00E36734" w:rsidRDefault="00A9257F" w:rsidP="00761263">
      <w:pPr>
        <w:spacing w:after="0" w:line="360" w:lineRule="auto"/>
        <w:jc w:val="both"/>
        <w:rPr>
          <w:rFonts w:ascii="Times New Roman" w:hAnsi="Times New Roman" w:cs="Times New Roman"/>
          <w:sz w:val="24"/>
          <w:szCs w:val="24"/>
        </w:rPr>
      </w:pPr>
      <w:bookmarkStart w:id="13" w:name="_Hlk68246211"/>
      <w:r w:rsidRPr="00E36734">
        <w:rPr>
          <w:rFonts w:ascii="Times New Roman" w:hAnsi="Times New Roman" w:cs="Times New Roman"/>
          <w:sz w:val="24"/>
          <w:szCs w:val="24"/>
        </w:rPr>
        <w:t xml:space="preserve">Η ρευστότητα των επιχειρήσεων το </w:t>
      </w:r>
      <w:r w:rsidR="00425E4A" w:rsidRPr="00E36734">
        <w:rPr>
          <w:rFonts w:ascii="Times New Roman" w:hAnsi="Times New Roman" w:cs="Times New Roman"/>
          <w:sz w:val="24"/>
          <w:szCs w:val="24"/>
        </w:rPr>
        <w:t>Β</w:t>
      </w:r>
      <w:r w:rsidRPr="00E36734">
        <w:rPr>
          <w:rFonts w:ascii="Times New Roman" w:hAnsi="Times New Roman" w:cs="Times New Roman"/>
          <w:sz w:val="24"/>
          <w:szCs w:val="24"/>
        </w:rPr>
        <w:t xml:space="preserve"> εξάμηνο του 2020 ακολουθεί την σοβαρή πτώση που </w:t>
      </w:r>
      <w:r w:rsidR="00425E4A" w:rsidRPr="00E36734">
        <w:rPr>
          <w:rFonts w:ascii="Times New Roman" w:hAnsi="Times New Roman" w:cs="Times New Roman"/>
          <w:sz w:val="24"/>
          <w:szCs w:val="24"/>
        </w:rPr>
        <w:t>καταγράφηκε και το Α εξάμηνο του έτους</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 xml:space="preserve">Αποτελεί μάλιστα το δείκτη με την χαμηλότερη επίδοση σε σχέση με τους υπόλοιπους. </w:t>
      </w:r>
      <w:r w:rsidRPr="00E36734">
        <w:rPr>
          <w:rFonts w:ascii="Times New Roman" w:hAnsi="Times New Roman" w:cs="Times New Roman"/>
          <w:sz w:val="24"/>
          <w:szCs w:val="24"/>
        </w:rPr>
        <w:t xml:space="preserve">Συγκεκριμένα </w:t>
      </w:r>
      <w:bookmarkStart w:id="14" w:name="_Hlk68075045"/>
      <w:r w:rsidRPr="00E36734">
        <w:rPr>
          <w:rFonts w:ascii="Times New Roman" w:hAnsi="Times New Roman" w:cs="Times New Roman"/>
          <w:sz w:val="24"/>
          <w:szCs w:val="24"/>
        </w:rPr>
        <w:t xml:space="preserve">το </w:t>
      </w:r>
      <w:r w:rsidR="00425E4A" w:rsidRPr="00E36734">
        <w:rPr>
          <w:rFonts w:ascii="Times New Roman" w:hAnsi="Times New Roman" w:cs="Times New Roman"/>
          <w:sz w:val="24"/>
          <w:szCs w:val="24"/>
        </w:rPr>
        <w:t>74,9</w:t>
      </w:r>
      <w:r w:rsidRPr="00E36734">
        <w:rPr>
          <w:rFonts w:ascii="Times New Roman" w:hAnsi="Times New Roman" w:cs="Times New Roman"/>
          <w:sz w:val="24"/>
          <w:szCs w:val="24"/>
        </w:rPr>
        <w:t>% των επιχειρήσεων δήλωσε ότι</w:t>
      </w:r>
      <w:r w:rsidR="00425E4A" w:rsidRPr="00E36734">
        <w:rPr>
          <w:rFonts w:ascii="Times New Roman" w:hAnsi="Times New Roman" w:cs="Times New Roman"/>
          <w:sz w:val="24"/>
          <w:szCs w:val="24"/>
        </w:rPr>
        <w:t xml:space="preserve"> το Β εξάμηνο του 2020</w:t>
      </w:r>
      <w:r w:rsidRPr="00E36734">
        <w:rPr>
          <w:rFonts w:ascii="Times New Roman" w:hAnsi="Times New Roman" w:cs="Times New Roman"/>
          <w:sz w:val="24"/>
          <w:szCs w:val="24"/>
        </w:rPr>
        <w:t xml:space="preserve"> μειώθηκε</w:t>
      </w:r>
      <w:r w:rsidR="00425E4A" w:rsidRPr="00E36734">
        <w:rPr>
          <w:rFonts w:ascii="Times New Roman" w:hAnsi="Times New Roman" w:cs="Times New Roman"/>
          <w:sz w:val="24"/>
          <w:szCs w:val="24"/>
        </w:rPr>
        <w:t xml:space="preserve"> περεταίρω η ρευστότητα</w:t>
      </w:r>
      <w:r w:rsidR="006D0D98" w:rsidRPr="00E36734">
        <w:rPr>
          <w:rFonts w:ascii="Times New Roman" w:hAnsi="Times New Roman" w:cs="Times New Roman"/>
          <w:sz w:val="24"/>
          <w:szCs w:val="24"/>
        </w:rPr>
        <w:t xml:space="preserve"> του</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έναντι</w:t>
      </w:r>
      <w:r w:rsidRPr="00E36734">
        <w:rPr>
          <w:rFonts w:ascii="Times New Roman" w:hAnsi="Times New Roman" w:cs="Times New Roman"/>
          <w:sz w:val="24"/>
          <w:szCs w:val="24"/>
        </w:rPr>
        <w:t xml:space="preserve"> μόλις το</w:t>
      </w:r>
      <w:r w:rsidR="00425E4A" w:rsidRPr="00E36734">
        <w:rPr>
          <w:rFonts w:ascii="Times New Roman" w:hAnsi="Times New Roman" w:cs="Times New Roman"/>
          <w:sz w:val="24"/>
          <w:szCs w:val="24"/>
        </w:rPr>
        <w:t>υ</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7,5</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 xml:space="preserve">που </w:t>
      </w:r>
      <w:r w:rsidRPr="00E36734">
        <w:rPr>
          <w:rFonts w:ascii="Times New Roman" w:hAnsi="Times New Roman" w:cs="Times New Roman"/>
          <w:sz w:val="24"/>
          <w:szCs w:val="24"/>
        </w:rPr>
        <w:t>δήλωσε ότι αυξήθηκε και το</w:t>
      </w:r>
      <w:r w:rsidR="00425E4A" w:rsidRPr="00E36734">
        <w:rPr>
          <w:rFonts w:ascii="Times New Roman" w:hAnsi="Times New Roman" w:cs="Times New Roman"/>
          <w:sz w:val="24"/>
          <w:szCs w:val="24"/>
        </w:rPr>
        <w:t>υ</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16,9</w:t>
      </w:r>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 xml:space="preserve">που δήλωσε </w:t>
      </w:r>
      <w:r w:rsidRPr="00E36734">
        <w:rPr>
          <w:rFonts w:ascii="Times New Roman" w:hAnsi="Times New Roman" w:cs="Times New Roman"/>
          <w:sz w:val="24"/>
          <w:szCs w:val="24"/>
        </w:rPr>
        <w:t>ότι παρέμεινε σταθερή</w:t>
      </w:r>
      <w:bookmarkEnd w:id="14"/>
      <w:r w:rsidRPr="00E36734">
        <w:rPr>
          <w:rFonts w:ascii="Times New Roman" w:hAnsi="Times New Roman" w:cs="Times New Roman"/>
          <w:sz w:val="24"/>
          <w:szCs w:val="24"/>
        </w:rPr>
        <w:t xml:space="preserve">. </w:t>
      </w:r>
      <w:r w:rsidR="00425E4A" w:rsidRPr="00E36734">
        <w:rPr>
          <w:rFonts w:ascii="Times New Roman" w:hAnsi="Times New Roman" w:cs="Times New Roman"/>
          <w:sz w:val="24"/>
          <w:szCs w:val="24"/>
        </w:rPr>
        <w:t>Τις χειρότερες επιδόσεις κατέγραψαν οι επιχειρήσεις με ετήσιο τζίρο κάτω από 50.000 € (81,8%), οι επιχειρήσεις που ανέστειλαν την δραστηριότητα τους με κρατική εντολή (85,3%) και οι επιχειρήσεις εστίασης (</w:t>
      </w:r>
      <w:r w:rsidR="00B35AC3" w:rsidRPr="00E36734">
        <w:rPr>
          <w:rFonts w:ascii="Times New Roman" w:hAnsi="Times New Roman" w:cs="Times New Roman"/>
          <w:sz w:val="24"/>
          <w:szCs w:val="24"/>
        </w:rPr>
        <w:t>85,3%).</w:t>
      </w:r>
    </w:p>
    <w:bookmarkEnd w:id="13"/>
    <w:p w14:paraId="503FD5B7" w14:textId="77777777" w:rsidR="00425E4A" w:rsidRPr="00E36734" w:rsidRDefault="00425E4A" w:rsidP="00761263">
      <w:pPr>
        <w:spacing w:after="0" w:line="360" w:lineRule="auto"/>
        <w:jc w:val="both"/>
        <w:rPr>
          <w:rFonts w:ascii="Times New Roman" w:hAnsi="Times New Roman" w:cs="Times New Roman"/>
          <w:sz w:val="18"/>
          <w:szCs w:val="18"/>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09"/>
        <w:gridCol w:w="2185"/>
        <w:gridCol w:w="2064"/>
        <w:gridCol w:w="2164"/>
        <w:gridCol w:w="2150"/>
      </w:tblGrid>
      <w:tr w:rsidR="00425E4A" w:rsidRPr="00E36734" w14:paraId="627CF75C" w14:textId="6FFC0538" w:rsidTr="00425E4A">
        <w:trPr>
          <w:trHeight w:val="458"/>
        </w:trPr>
        <w:tc>
          <w:tcPr>
            <w:tcW w:w="1809" w:type="dxa"/>
            <w:vMerge w:val="restart"/>
            <w:shd w:val="clear" w:color="auto" w:fill="FDEADA"/>
            <w:tcMar>
              <w:top w:w="12" w:type="dxa"/>
              <w:left w:w="12" w:type="dxa"/>
              <w:bottom w:w="0" w:type="dxa"/>
              <w:right w:w="12" w:type="dxa"/>
            </w:tcMar>
            <w:vAlign w:val="bottom"/>
            <w:hideMark/>
          </w:tcPr>
          <w:p w14:paraId="71C964F2" w14:textId="77777777" w:rsidR="006D0D98" w:rsidRPr="00E36734" w:rsidRDefault="006D0D98" w:rsidP="00425E4A">
            <w:pPr>
              <w:spacing w:line="240" w:lineRule="auto"/>
              <w:jc w:val="center"/>
              <w:rPr>
                <w:rFonts w:eastAsia="Times New Roman" w:cstheme="minorHAnsi"/>
                <w:b/>
                <w:bCs/>
                <w:sz w:val="20"/>
                <w:szCs w:val="20"/>
              </w:rPr>
            </w:pPr>
            <w:bookmarkStart w:id="15" w:name="_Hlk67916229"/>
            <w:r w:rsidRPr="00E36734">
              <w:rPr>
                <w:rFonts w:eastAsia="Times New Roman" w:cstheme="minorHAnsi"/>
                <w:b/>
                <w:bCs/>
                <w:sz w:val="20"/>
                <w:szCs w:val="20"/>
              </w:rPr>
              <w:t>Πίνακας 4</w:t>
            </w:r>
          </w:p>
          <w:p w14:paraId="6B40CCD5" w14:textId="34C98094" w:rsidR="00425E4A" w:rsidRPr="00E36734" w:rsidRDefault="00425E4A" w:rsidP="00425E4A">
            <w:pPr>
              <w:spacing w:line="240" w:lineRule="auto"/>
              <w:jc w:val="center"/>
              <w:rPr>
                <w:rFonts w:eastAsia="Times New Roman" w:cstheme="minorHAnsi"/>
                <w:sz w:val="18"/>
                <w:szCs w:val="18"/>
              </w:rPr>
            </w:pPr>
            <w:r w:rsidRPr="00E36734">
              <w:rPr>
                <w:rFonts w:eastAsia="Times New Roman" w:cstheme="minorHAnsi"/>
                <w:sz w:val="18"/>
                <w:szCs w:val="18"/>
              </w:rPr>
              <w:t>Η ρευστότητα της επιχε</w:t>
            </w:r>
            <w:r w:rsidR="004D3693" w:rsidRPr="00E36734">
              <w:rPr>
                <w:rFonts w:eastAsia="Times New Roman" w:cstheme="minorHAnsi"/>
                <w:sz w:val="18"/>
                <w:szCs w:val="18"/>
              </w:rPr>
              <w:t>ί</w:t>
            </w:r>
            <w:r w:rsidRPr="00E36734">
              <w:rPr>
                <w:rFonts w:eastAsia="Times New Roman" w:cstheme="minorHAnsi"/>
                <w:sz w:val="18"/>
                <w:szCs w:val="18"/>
              </w:rPr>
              <w:t>ρ</w:t>
            </w:r>
            <w:r w:rsidR="004D3693" w:rsidRPr="00E36734">
              <w:rPr>
                <w:rFonts w:eastAsia="Times New Roman" w:cstheme="minorHAnsi"/>
                <w:sz w:val="18"/>
                <w:szCs w:val="18"/>
              </w:rPr>
              <w:t>η</w:t>
            </w:r>
            <w:r w:rsidRPr="00E36734">
              <w:rPr>
                <w:rFonts w:eastAsia="Times New Roman" w:cstheme="minorHAnsi"/>
                <w:sz w:val="18"/>
                <w:szCs w:val="18"/>
              </w:rPr>
              <w:t>σή σας το Β εξάμηνο του 2020:</w:t>
            </w:r>
          </w:p>
        </w:tc>
        <w:tc>
          <w:tcPr>
            <w:tcW w:w="6413" w:type="dxa"/>
            <w:gridSpan w:val="3"/>
            <w:shd w:val="clear" w:color="auto" w:fill="FDEADA"/>
            <w:tcMar>
              <w:top w:w="12" w:type="dxa"/>
              <w:left w:w="12" w:type="dxa"/>
              <w:bottom w:w="0" w:type="dxa"/>
              <w:right w:w="12" w:type="dxa"/>
            </w:tcMar>
            <w:vAlign w:val="center"/>
            <w:hideMark/>
          </w:tcPr>
          <w:p w14:paraId="2FFEF154" w14:textId="77777777" w:rsidR="00425E4A" w:rsidRPr="00E36734" w:rsidRDefault="00425E4A" w:rsidP="00425E4A">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Επιχειρήσεις που το τελευταίο εξάμηνο...</w:t>
            </w:r>
          </w:p>
        </w:tc>
        <w:tc>
          <w:tcPr>
            <w:tcW w:w="2150" w:type="dxa"/>
            <w:vMerge w:val="restart"/>
            <w:shd w:val="clear" w:color="auto" w:fill="FDEADA"/>
          </w:tcPr>
          <w:p w14:paraId="458C565D" w14:textId="77777777"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p>
          <w:p w14:paraId="4FD0665F" w14:textId="77777777"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p>
          <w:p w14:paraId="74A56A75" w14:textId="33DA1124"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Επιχειρήσεις</w:t>
            </w:r>
          </w:p>
          <w:p w14:paraId="32612E34" w14:textId="226415CF"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 εστίασης</w:t>
            </w:r>
          </w:p>
        </w:tc>
      </w:tr>
      <w:tr w:rsidR="00425E4A" w:rsidRPr="00E36734" w14:paraId="724CD7A0" w14:textId="55365A47" w:rsidTr="00425E4A">
        <w:trPr>
          <w:trHeight w:val="872"/>
        </w:trPr>
        <w:tc>
          <w:tcPr>
            <w:tcW w:w="1809" w:type="dxa"/>
            <w:vMerge/>
            <w:shd w:val="clear" w:color="auto" w:fill="FDEADA"/>
            <w:tcMar>
              <w:top w:w="12" w:type="dxa"/>
              <w:left w:w="12" w:type="dxa"/>
              <w:bottom w:w="0" w:type="dxa"/>
              <w:right w:w="12" w:type="dxa"/>
            </w:tcMar>
            <w:vAlign w:val="bottom"/>
            <w:hideMark/>
          </w:tcPr>
          <w:p w14:paraId="6F2A6813" w14:textId="77777777" w:rsidR="00425E4A" w:rsidRPr="00E36734" w:rsidRDefault="00425E4A" w:rsidP="00425E4A">
            <w:pPr>
              <w:spacing w:after="0" w:line="240" w:lineRule="auto"/>
              <w:jc w:val="center"/>
              <w:rPr>
                <w:rFonts w:eastAsia="Times New Roman" w:cstheme="minorHAnsi"/>
                <w:sz w:val="18"/>
                <w:szCs w:val="18"/>
              </w:rPr>
            </w:pPr>
          </w:p>
        </w:tc>
        <w:tc>
          <w:tcPr>
            <w:tcW w:w="2185" w:type="dxa"/>
            <w:shd w:val="clear" w:color="auto" w:fill="FDEADA"/>
            <w:tcMar>
              <w:top w:w="12" w:type="dxa"/>
              <w:left w:w="12" w:type="dxa"/>
              <w:bottom w:w="0" w:type="dxa"/>
              <w:right w:w="12" w:type="dxa"/>
            </w:tcMar>
            <w:vAlign w:val="center"/>
            <w:hideMark/>
          </w:tcPr>
          <w:p w14:paraId="48E79112" w14:textId="77777777" w:rsidR="00425E4A" w:rsidRPr="00E36734" w:rsidRDefault="00425E4A" w:rsidP="00425E4A">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ανέστειλαν την δραστηριότητα τους με κρατική εντολή</w:t>
            </w:r>
          </w:p>
        </w:tc>
        <w:tc>
          <w:tcPr>
            <w:tcW w:w="2064" w:type="dxa"/>
            <w:shd w:val="clear" w:color="auto" w:fill="FDEADA"/>
            <w:tcMar>
              <w:top w:w="12" w:type="dxa"/>
              <w:left w:w="12" w:type="dxa"/>
              <w:bottom w:w="0" w:type="dxa"/>
              <w:right w:w="12" w:type="dxa"/>
            </w:tcMar>
            <w:vAlign w:val="center"/>
            <w:hideMark/>
          </w:tcPr>
          <w:p w14:paraId="76B5363A" w14:textId="77777777" w:rsidR="00425E4A" w:rsidRPr="00E36734" w:rsidRDefault="00425E4A" w:rsidP="00425E4A">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ανήκαν στις πληττόμενες βάσει ΚΑΔ επιχειρήσεις</w:t>
            </w:r>
          </w:p>
        </w:tc>
        <w:tc>
          <w:tcPr>
            <w:tcW w:w="2164" w:type="dxa"/>
            <w:shd w:val="clear" w:color="auto" w:fill="FDEADA"/>
            <w:tcMar>
              <w:top w:w="12" w:type="dxa"/>
              <w:left w:w="12" w:type="dxa"/>
              <w:bottom w:w="0" w:type="dxa"/>
              <w:right w:w="12" w:type="dxa"/>
            </w:tcMar>
            <w:vAlign w:val="center"/>
            <w:hideMark/>
          </w:tcPr>
          <w:p w14:paraId="20EE5558" w14:textId="063880E1" w:rsidR="00425E4A" w:rsidRPr="00E36734" w:rsidRDefault="00425E4A" w:rsidP="00425E4A">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Δεν ανήκαν σε καμία από τις παρακείμενες κατηγορίες</w:t>
            </w:r>
          </w:p>
        </w:tc>
        <w:tc>
          <w:tcPr>
            <w:tcW w:w="2150" w:type="dxa"/>
            <w:vMerge/>
            <w:shd w:val="clear" w:color="auto" w:fill="FDEADA"/>
          </w:tcPr>
          <w:p w14:paraId="21324A62" w14:textId="77777777"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p>
        </w:tc>
      </w:tr>
      <w:tr w:rsidR="00425E4A" w:rsidRPr="00E36734" w14:paraId="730912FF" w14:textId="215C5D5B" w:rsidTr="00E55E93">
        <w:trPr>
          <w:trHeight w:val="458"/>
        </w:trPr>
        <w:tc>
          <w:tcPr>
            <w:tcW w:w="1809" w:type="dxa"/>
            <w:shd w:val="clear" w:color="auto" w:fill="auto"/>
            <w:tcMar>
              <w:top w:w="12" w:type="dxa"/>
              <w:left w:w="12" w:type="dxa"/>
              <w:bottom w:w="0" w:type="dxa"/>
              <w:right w:w="12" w:type="dxa"/>
            </w:tcMar>
            <w:vAlign w:val="center"/>
            <w:hideMark/>
          </w:tcPr>
          <w:p w14:paraId="08F8F9FB" w14:textId="77777777" w:rsidR="00425E4A" w:rsidRPr="00E36734" w:rsidRDefault="00425E4A" w:rsidP="00425E4A">
            <w:pPr>
              <w:spacing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αυξήθηκε</w:t>
            </w:r>
          </w:p>
        </w:tc>
        <w:tc>
          <w:tcPr>
            <w:tcW w:w="2185" w:type="dxa"/>
            <w:shd w:val="clear" w:color="auto" w:fill="auto"/>
            <w:tcMar>
              <w:top w:w="12" w:type="dxa"/>
              <w:left w:w="12" w:type="dxa"/>
              <w:bottom w:w="0" w:type="dxa"/>
              <w:right w:w="12" w:type="dxa"/>
            </w:tcMar>
            <w:vAlign w:val="center"/>
            <w:hideMark/>
          </w:tcPr>
          <w:p w14:paraId="529AD88A"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6.8</w:t>
            </w:r>
          </w:p>
        </w:tc>
        <w:tc>
          <w:tcPr>
            <w:tcW w:w="2064" w:type="dxa"/>
            <w:shd w:val="clear" w:color="auto" w:fill="auto"/>
            <w:tcMar>
              <w:top w:w="12" w:type="dxa"/>
              <w:left w:w="12" w:type="dxa"/>
              <w:bottom w:w="0" w:type="dxa"/>
              <w:right w:w="12" w:type="dxa"/>
            </w:tcMar>
            <w:vAlign w:val="center"/>
            <w:hideMark/>
          </w:tcPr>
          <w:p w14:paraId="1972157B"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6.4</w:t>
            </w:r>
          </w:p>
        </w:tc>
        <w:tc>
          <w:tcPr>
            <w:tcW w:w="2164" w:type="dxa"/>
            <w:shd w:val="clear" w:color="auto" w:fill="auto"/>
            <w:tcMar>
              <w:top w:w="12" w:type="dxa"/>
              <w:left w:w="12" w:type="dxa"/>
              <w:bottom w:w="0" w:type="dxa"/>
              <w:right w:w="12" w:type="dxa"/>
            </w:tcMar>
            <w:vAlign w:val="center"/>
            <w:hideMark/>
          </w:tcPr>
          <w:p w14:paraId="48AEC003"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10.9</w:t>
            </w:r>
          </w:p>
        </w:tc>
        <w:tc>
          <w:tcPr>
            <w:tcW w:w="2150" w:type="dxa"/>
            <w:shd w:val="clear" w:color="auto" w:fill="auto"/>
            <w:vAlign w:val="center"/>
          </w:tcPr>
          <w:p w14:paraId="6F763809" w14:textId="0000C416" w:rsidR="00425E4A" w:rsidRPr="00E36734" w:rsidRDefault="00B35AC3" w:rsidP="00425E4A">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8,8</w:t>
            </w:r>
          </w:p>
        </w:tc>
      </w:tr>
      <w:tr w:rsidR="00425E4A" w:rsidRPr="00E36734" w14:paraId="25A730F8" w14:textId="25509227" w:rsidTr="00E55E93">
        <w:trPr>
          <w:trHeight w:val="458"/>
        </w:trPr>
        <w:tc>
          <w:tcPr>
            <w:tcW w:w="1809" w:type="dxa"/>
            <w:shd w:val="clear" w:color="auto" w:fill="auto"/>
            <w:tcMar>
              <w:top w:w="12" w:type="dxa"/>
              <w:left w:w="12" w:type="dxa"/>
              <w:bottom w:w="0" w:type="dxa"/>
              <w:right w:w="12" w:type="dxa"/>
            </w:tcMar>
            <w:vAlign w:val="center"/>
            <w:hideMark/>
          </w:tcPr>
          <w:p w14:paraId="3E2AADA8" w14:textId="77777777" w:rsidR="00425E4A" w:rsidRPr="00E36734" w:rsidRDefault="00425E4A" w:rsidP="00425E4A">
            <w:pPr>
              <w:spacing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μειώθηκε</w:t>
            </w:r>
          </w:p>
        </w:tc>
        <w:tc>
          <w:tcPr>
            <w:tcW w:w="2185" w:type="dxa"/>
            <w:shd w:val="clear" w:color="auto" w:fill="auto"/>
            <w:tcMar>
              <w:top w:w="12" w:type="dxa"/>
              <w:left w:w="12" w:type="dxa"/>
              <w:bottom w:w="0" w:type="dxa"/>
              <w:right w:w="12" w:type="dxa"/>
            </w:tcMar>
            <w:vAlign w:val="center"/>
            <w:hideMark/>
          </w:tcPr>
          <w:p w14:paraId="0654EAF7"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85.3</w:t>
            </w:r>
          </w:p>
        </w:tc>
        <w:tc>
          <w:tcPr>
            <w:tcW w:w="2064" w:type="dxa"/>
            <w:shd w:val="clear" w:color="auto" w:fill="auto"/>
            <w:tcMar>
              <w:top w:w="12" w:type="dxa"/>
              <w:left w:w="12" w:type="dxa"/>
              <w:bottom w:w="0" w:type="dxa"/>
              <w:right w:w="12" w:type="dxa"/>
            </w:tcMar>
            <w:vAlign w:val="center"/>
            <w:hideMark/>
          </w:tcPr>
          <w:p w14:paraId="02C6AC8C"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78</w:t>
            </w:r>
          </w:p>
        </w:tc>
        <w:tc>
          <w:tcPr>
            <w:tcW w:w="2164" w:type="dxa"/>
            <w:shd w:val="clear" w:color="auto" w:fill="auto"/>
            <w:tcMar>
              <w:top w:w="12" w:type="dxa"/>
              <w:left w:w="12" w:type="dxa"/>
              <w:bottom w:w="0" w:type="dxa"/>
              <w:right w:w="12" w:type="dxa"/>
            </w:tcMar>
            <w:vAlign w:val="center"/>
            <w:hideMark/>
          </w:tcPr>
          <w:p w14:paraId="1AD62DC9"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57.4</w:t>
            </w:r>
          </w:p>
        </w:tc>
        <w:tc>
          <w:tcPr>
            <w:tcW w:w="2150" w:type="dxa"/>
            <w:shd w:val="clear" w:color="auto" w:fill="auto"/>
            <w:vAlign w:val="center"/>
          </w:tcPr>
          <w:p w14:paraId="1F03B6C4" w14:textId="7088A6A0" w:rsidR="00425E4A" w:rsidRPr="00E36734" w:rsidRDefault="00425E4A" w:rsidP="00425E4A">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85.3</w:t>
            </w:r>
          </w:p>
        </w:tc>
      </w:tr>
      <w:tr w:rsidR="00425E4A" w:rsidRPr="00E36734" w14:paraId="646DD807" w14:textId="6C873373" w:rsidTr="00E55E93">
        <w:trPr>
          <w:trHeight w:val="458"/>
        </w:trPr>
        <w:tc>
          <w:tcPr>
            <w:tcW w:w="1809" w:type="dxa"/>
            <w:shd w:val="clear" w:color="auto" w:fill="auto"/>
            <w:tcMar>
              <w:top w:w="12" w:type="dxa"/>
              <w:left w:w="12" w:type="dxa"/>
              <w:bottom w:w="0" w:type="dxa"/>
              <w:right w:w="12" w:type="dxa"/>
            </w:tcMar>
            <w:vAlign w:val="center"/>
            <w:hideMark/>
          </w:tcPr>
          <w:p w14:paraId="1A0E6660" w14:textId="77777777" w:rsidR="00425E4A" w:rsidRPr="00E36734" w:rsidRDefault="00425E4A" w:rsidP="00425E4A">
            <w:pPr>
              <w:spacing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αμετάβλητη</w:t>
            </w:r>
          </w:p>
        </w:tc>
        <w:tc>
          <w:tcPr>
            <w:tcW w:w="2185" w:type="dxa"/>
            <w:shd w:val="clear" w:color="auto" w:fill="auto"/>
            <w:tcMar>
              <w:top w:w="12" w:type="dxa"/>
              <w:left w:w="12" w:type="dxa"/>
              <w:bottom w:w="0" w:type="dxa"/>
              <w:right w:w="12" w:type="dxa"/>
            </w:tcMar>
            <w:vAlign w:val="center"/>
            <w:hideMark/>
          </w:tcPr>
          <w:p w14:paraId="357A20E8"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7.3</w:t>
            </w:r>
          </w:p>
        </w:tc>
        <w:tc>
          <w:tcPr>
            <w:tcW w:w="2064" w:type="dxa"/>
            <w:shd w:val="clear" w:color="auto" w:fill="auto"/>
            <w:tcMar>
              <w:top w:w="12" w:type="dxa"/>
              <w:left w:w="12" w:type="dxa"/>
              <w:bottom w:w="0" w:type="dxa"/>
              <w:right w:w="12" w:type="dxa"/>
            </w:tcMar>
            <w:vAlign w:val="center"/>
            <w:hideMark/>
          </w:tcPr>
          <w:p w14:paraId="294D2851"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14.7</w:t>
            </w:r>
          </w:p>
        </w:tc>
        <w:tc>
          <w:tcPr>
            <w:tcW w:w="2164" w:type="dxa"/>
            <w:shd w:val="clear" w:color="auto" w:fill="auto"/>
            <w:tcMar>
              <w:top w:w="12" w:type="dxa"/>
              <w:left w:w="12" w:type="dxa"/>
              <w:bottom w:w="0" w:type="dxa"/>
              <w:right w:w="12" w:type="dxa"/>
            </w:tcMar>
            <w:vAlign w:val="center"/>
            <w:hideMark/>
          </w:tcPr>
          <w:p w14:paraId="10108292"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31.1</w:t>
            </w:r>
          </w:p>
        </w:tc>
        <w:tc>
          <w:tcPr>
            <w:tcW w:w="2150" w:type="dxa"/>
            <w:shd w:val="clear" w:color="auto" w:fill="auto"/>
            <w:vAlign w:val="center"/>
          </w:tcPr>
          <w:p w14:paraId="19CDB01A" w14:textId="1C40C6E5" w:rsidR="00425E4A" w:rsidRPr="00E36734" w:rsidRDefault="00B35AC3" w:rsidP="00425E4A">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4.4</w:t>
            </w:r>
          </w:p>
        </w:tc>
      </w:tr>
      <w:tr w:rsidR="00425E4A" w:rsidRPr="00E36734" w14:paraId="47204653" w14:textId="02E98986" w:rsidTr="00E55E93">
        <w:trPr>
          <w:trHeight w:val="458"/>
        </w:trPr>
        <w:tc>
          <w:tcPr>
            <w:tcW w:w="1809" w:type="dxa"/>
            <w:shd w:val="clear" w:color="auto" w:fill="auto"/>
            <w:tcMar>
              <w:top w:w="12" w:type="dxa"/>
              <w:left w:w="12" w:type="dxa"/>
              <w:bottom w:w="0" w:type="dxa"/>
              <w:right w:w="12" w:type="dxa"/>
            </w:tcMar>
            <w:vAlign w:val="center"/>
            <w:hideMark/>
          </w:tcPr>
          <w:p w14:paraId="65057F33" w14:textId="77777777" w:rsidR="00425E4A" w:rsidRPr="00E36734" w:rsidRDefault="00425E4A" w:rsidP="00425E4A">
            <w:pPr>
              <w:spacing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Δ.Α</w:t>
            </w:r>
          </w:p>
        </w:tc>
        <w:tc>
          <w:tcPr>
            <w:tcW w:w="2185" w:type="dxa"/>
            <w:shd w:val="clear" w:color="auto" w:fill="auto"/>
            <w:tcMar>
              <w:top w:w="12" w:type="dxa"/>
              <w:left w:w="12" w:type="dxa"/>
              <w:bottom w:w="0" w:type="dxa"/>
              <w:right w:w="12" w:type="dxa"/>
            </w:tcMar>
            <w:vAlign w:val="center"/>
            <w:hideMark/>
          </w:tcPr>
          <w:p w14:paraId="1EEDAEA2"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0.5</w:t>
            </w:r>
          </w:p>
        </w:tc>
        <w:tc>
          <w:tcPr>
            <w:tcW w:w="2064" w:type="dxa"/>
            <w:shd w:val="clear" w:color="auto" w:fill="auto"/>
            <w:tcMar>
              <w:top w:w="12" w:type="dxa"/>
              <w:left w:w="12" w:type="dxa"/>
              <w:bottom w:w="0" w:type="dxa"/>
              <w:right w:w="12" w:type="dxa"/>
            </w:tcMar>
            <w:vAlign w:val="center"/>
            <w:hideMark/>
          </w:tcPr>
          <w:p w14:paraId="1F512DEF"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0.9</w:t>
            </w:r>
          </w:p>
        </w:tc>
        <w:tc>
          <w:tcPr>
            <w:tcW w:w="2164" w:type="dxa"/>
            <w:shd w:val="clear" w:color="auto" w:fill="auto"/>
            <w:tcMar>
              <w:top w:w="12" w:type="dxa"/>
              <w:left w:w="12" w:type="dxa"/>
              <w:bottom w:w="0" w:type="dxa"/>
              <w:right w:w="12" w:type="dxa"/>
            </w:tcMar>
            <w:vAlign w:val="center"/>
            <w:hideMark/>
          </w:tcPr>
          <w:p w14:paraId="085BDC54" w14:textId="77777777" w:rsidR="00425E4A" w:rsidRPr="00E36734" w:rsidRDefault="00425E4A" w:rsidP="00425E4A">
            <w:pPr>
              <w:spacing w:after="0" w:line="240" w:lineRule="auto"/>
              <w:jc w:val="center"/>
              <w:textAlignment w:val="center"/>
              <w:rPr>
                <w:rFonts w:eastAsia="Times New Roman" w:cstheme="minorHAnsi"/>
                <w:sz w:val="18"/>
                <w:szCs w:val="18"/>
                <w:lang w:val="en-US"/>
              </w:rPr>
            </w:pPr>
            <w:r w:rsidRPr="00E36734">
              <w:rPr>
                <w:rFonts w:eastAsia="Microsoft JhengHei UI" w:cstheme="minorHAnsi"/>
                <w:color w:val="000000"/>
                <w:kern w:val="24"/>
                <w:sz w:val="18"/>
                <w:szCs w:val="18"/>
                <w:lang w:val="en-US"/>
              </w:rPr>
              <w:t>0.5</w:t>
            </w:r>
          </w:p>
        </w:tc>
        <w:tc>
          <w:tcPr>
            <w:tcW w:w="2150" w:type="dxa"/>
            <w:shd w:val="clear" w:color="auto" w:fill="auto"/>
            <w:vAlign w:val="center"/>
          </w:tcPr>
          <w:p w14:paraId="544D965F" w14:textId="3112F956" w:rsidR="00425E4A" w:rsidRPr="00E36734" w:rsidRDefault="00B35AC3" w:rsidP="00425E4A">
            <w:pPr>
              <w:spacing w:after="0" w:line="240" w:lineRule="auto"/>
              <w:jc w:val="center"/>
              <w:textAlignment w:val="center"/>
              <w:rPr>
                <w:rFonts w:eastAsia="Microsoft JhengHei UI" w:cstheme="minorHAnsi"/>
                <w:color w:val="000000"/>
                <w:kern w:val="24"/>
                <w:sz w:val="18"/>
                <w:szCs w:val="18"/>
                <w:lang w:val="en-US"/>
              </w:rPr>
            </w:pPr>
            <w:r w:rsidRPr="00E36734">
              <w:rPr>
                <w:rFonts w:eastAsia="Microsoft JhengHei UI" w:cstheme="minorHAnsi"/>
                <w:color w:val="000000"/>
                <w:kern w:val="24"/>
                <w:sz w:val="18"/>
                <w:szCs w:val="18"/>
              </w:rPr>
              <w:t>1</w:t>
            </w:r>
            <w:r w:rsidR="00425E4A" w:rsidRPr="00E36734">
              <w:rPr>
                <w:rFonts w:eastAsia="Microsoft JhengHei UI" w:cstheme="minorHAnsi"/>
                <w:color w:val="000000"/>
                <w:kern w:val="24"/>
                <w:sz w:val="18"/>
                <w:szCs w:val="18"/>
                <w:lang w:val="en-US"/>
              </w:rPr>
              <w:t>.5</w:t>
            </w:r>
          </w:p>
        </w:tc>
      </w:tr>
      <w:bookmarkEnd w:id="15"/>
    </w:tbl>
    <w:p w14:paraId="7EBD5AA2" w14:textId="77777777" w:rsidR="00425E4A" w:rsidRPr="00E36734" w:rsidRDefault="00425E4A" w:rsidP="00761263">
      <w:pPr>
        <w:spacing w:after="0" w:line="360" w:lineRule="auto"/>
        <w:jc w:val="both"/>
        <w:rPr>
          <w:rFonts w:ascii="Times New Roman" w:hAnsi="Times New Roman" w:cs="Times New Roman"/>
          <w:sz w:val="24"/>
          <w:szCs w:val="24"/>
        </w:rPr>
      </w:pPr>
    </w:p>
    <w:p w14:paraId="72CBB0A4" w14:textId="7828F31D" w:rsidR="00425E4A" w:rsidRPr="00E36734" w:rsidRDefault="003C733C" w:rsidP="00761263">
      <w:pPr>
        <w:spacing w:after="0" w:line="360" w:lineRule="auto"/>
        <w:jc w:val="both"/>
        <w:rPr>
          <w:rFonts w:ascii="Times New Roman" w:hAnsi="Times New Roman" w:cs="Times New Roman"/>
          <w:sz w:val="24"/>
          <w:szCs w:val="24"/>
        </w:rPr>
      </w:pPr>
      <w:r w:rsidRPr="00E36734">
        <w:rPr>
          <w:rFonts w:ascii="Times New Roman" w:hAnsi="Times New Roman" w:cs="Times New Roman"/>
          <w:sz w:val="24"/>
          <w:szCs w:val="24"/>
        </w:rPr>
        <w:lastRenderedPageBreak/>
        <w:t xml:space="preserve">Η μειωμένη ρευστότητα των επιχειρήσεων φαίνεται και από την </w:t>
      </w:r>
      <w:r w:rsidR="001765DA" w:rsidRPr="00E36734">
        <w:rPr>
          <w:rFonts w:ascii="Times New Roman" w:hAnsi="Times New Roman" w:cs="Times New Roman"/>
          <w:sz w:val="24"/>
          <w:szCs w:val="24"/>
        </w:rPr>
        <w:t>επιδείνωση</w:t>
      </w:r>
      <w:r w:rsidRPr="00E36734">
        <w:rPr>
          <w:rFonts w:ascii="Times New Roman" w:hAnsi="Times New Roman" w:cs="Times New Roman"/>
          <w:sz w:val="24"/>
          <w:szCs w:val="24"/>
        </w:rPr>
        <w:t xml:space="preserve"> που </w:t>
      </w:r>
      <w:r w:rsidR="001765DA" w:rsidRPr="00E36734">
        <w:rPr>
          <w:rFonts w:ascii="Times New Roman" w:hAnsi="Times New Roman" w:cs="Times New Roman"/>
          <w:sz w:val="24"/>
          <w:szCs w:val="24"/>
        </w:rPr>
        <w:t>καταγράφεται</w:t>
      </w:r>
      <w:r w:rsidRPr="00E36734">
        <w:rPr>
          <w:rFonts w:ascii="Times New Roman" w:hAnsi="Times New Roman" w:cs="Times New Roman"/>
          <w:sz w:val="24"/>
          <w:szCs w:val="24"/>
        </w:rPr>
        <w:t xml:space="preserve"> στα ταμειακά διαθέσιμα τους σε σχέση με το Α εξάμηνο του 2020</w:t>
      </w:r>
      <w:r w:rsidR="001765DA" w:rsidRPr="00E36734">
        <w:rPr>
          <w:rFonts w:ascii="Times New Roman" w:hAnsi="Times New Roman" w:cs="Times New Roman"/>
          <w:sz w:val="24"/>
          <w:szCs w:val="24"/>
        </w:rPr>
        <w:t>. Όπως φαίνεται στο Γράφημα</w:t>
      </w:r>
      <w:r w:rsidR="006D0D98" w:rsidRPr="00E36734">
        <w:rPr>
          <w:rFonts w:ascii="Times New Roman" w:hAnsi="Times New Roman" w:cs="Times New Roman"/>
          <w:sz w:val="24"/>
          <w:szCs w:val="24"/>
        </w:rPr>
        <w:t xml:space="preserve"> </w:t>
      </w:r>
      <w:r w:rsidR="00982B33" w:rsidRPr="00E36734">
        <w:rPr>
          <w:rFonts w:ascii="Times New Roman" w:hAnsi="Times New Roman" w:cs="Times New Roman"/>
          <w:sz w:val="24"/>
          <w:szCs w:val="24"/>
        </w:rPr>
        <w:t>10</w:t>
      </w:r>
      <w:r w:rsidR="001765DA" w:rsidRPr="00E36734">
        <w:rPr>
          <w:rFonts w:ascii="Times New Roman" w:hAnsi="Times New Roman" w:cs="Times New Roman"/>
          <w:sz w:val="24"/>
          <w:szCs w:val="24"/>
        </w:rPr>
        <w:t xml:space="preserve"> </w:t>
      </w:r>
      <w:bookmarkStart w:id="16" w:name="_Hlk68075090"/>
      <w:r w:rsidR="001765DA" w:rsidRPr="00E36734">
        <w:rPr>
          <w:rFonts w:ascii="Times New Roman" w:hAnsi="Times New Roman" w:cs="Times New Roman"/>
          <w:sz w:val="24"/>
          <w:szCs w:val="24"/>
        </w:rPr>
        <w:t xml:space="preserve">οι επιχειρήσεις που δεν έχουν καθόλου ταμειακά διαθέσιμα έχουν αυξηθεί κατά 10 ποσοστιαίες μονάδες, ενώ η </w:t>
      </w:r>
      <w:r w:rsidR="00352F49" w:rsidRPr="00E36734">
        <w:rPr>
          <w:rFonts w:ascii="Times New Roman" w:hAnsi="Times New Roman" w:cs="Times New Roman"/>
          <w:sz w:val="24"/>
          <w:szCs w:val="24"/>
        </w:rPr>
        <w:t>μείωση</w:t>
      </w:r>
      <w:r w:rsidR="001765DA" w:rsidRPr="00E36734">
        <w:rPr>
          <w:rFonts w:ascii="Times New Roman" w:hAnsi="Times New Roman" w:cs="Times New Roman"/>
          <w:sz w:val="24"/>
          <w:szCs w:val="24"/>
        </w:rPr>
        <w:t xml:space="preserve"> της ρευστότητας των μικρών και πολύ μικρών επιχειρήσεων φαίνεται και από </w:t>
      </w:r>
      <w:r w:rsidR="0024078D" w:rsidRPr="00E36734">
        <w:rPr>
          <w:rFonts w:ascii="Times New Roman" w:hAnsi="Times New Roman" w:cs="Times New Roman"/>
          <w:sz w:val="24"/>
          <w:szCs w:val="24"/>
        </w:rPr>
        <w:t>τη σύγκριση των υπόλοιπων κατηγοριών</w:t>
      </w:r>
      <w:r w:rsidR="001765DA" w:rsidRPr="00E36734">
        <w:rPr>
          <w:rFonts w:ascii="Times New Roman" w:hAnsi="Times New Roman" w:cs="Times New Roman"/>
          <w:sz w:val="24"/>
          <w:szCs w:val="24"/>
        </w:rPr>
        <w:t xml:space="preserve">. </w:t>
      </w:r>
      <w:r w:rsidR="00352F49" w:rsidRPr="00E36734">
        <w:rPr>
          <w:rFonts w:ascii="Times New Roman" w:hAnsi="Times New Roman" w:cs="Times New Roman"/>
          <w:sz w:val="24"/>
          <w:szCs w:val="24"/>
        </w:rPr>
        <w:t>Συγκεκριμένα</w:t>
      </w:r>
      <w:r w:rsidR="001765DA" w:rsidRPr="00E36734">
        <w:rPr>
          <w:rFonts w:ascii="Times New Roman" w:hAnsi="Times New Roman" w:cs="Times New Roman"/>
          <w:sz w:val="24"/>
          <w:szCs w:val="24"/>
        </w:rPr>
        <w:t xml:space="preserve"> σχεδόν 1 στις 4 επιχειρήσεις δεν έχει καθόλου </w:t>
      </w:r>
      <w:r w:rsidR="00352F49" w:rsidRPr="00E36734">
        <w:rPr>
          <w:rFonts w:ascii="Times New Roman" w:hAnsi="Times New Roman" w:cs="Times New Roman"/>
          <w:sz w:val="24"/>
          <w:szCs w:val="24"/>
        </w:rPr>
        <w:t>ταμειακά</w:t>
      </w:r>
      <w:r w:rsidR="001765DA" w:rsidRPr="00E36734">
        <w:rPr>
          <w:rFonts w:ascii="Times New Roman" w:hAnsi="Times New Roman" w:cs="Times New Roman"/>
          <w:sz w:val="24"/>
          <w:szCs w:val="24"/>
        </w:rPr>
        <w:t xml:space="preserve"> διαθέσιμα</w:t>
      </w:r>
      <w:r w:rsidR="00352F49" w:rsidRPr="00E36734">
        <w:rPr>
          <w:rFonts w:ascii="Times New Roman" w:hAnsi="Times New Roman" w:cs="Times New Roman"/>
          <w:sz w:val="24"/>
          <w:szCs w:val="24"/>
        </w:rPr>
        <w:t xml:space="preserve">, ενώ για επίσης 1 στις 4 επιχειρήσεις τα ταμειακά διαθέσιμα δεν επαρκούν για περισσότερο από ένα μήνα. Με άλλα λόγια η 1 στις 2 μικρές και πολύ μικρές επιχειρήσεις έχουν ταμειακά διαθέσιμα </w:t>
      </w:r>
      <w:r w:rsidR="006D0D98" w:rsidRPr="00E36734">
        <w:rPr>
          <w:rFonts w:ascii="Times New Roman" w:hAnsi="Times New Roman" w:cs="Times New Roman"/>
          <w:sz w:val="24"/>
          <w:szCs w:val="24"/>
        </w:rPr>
        <w:t>το πολύ για</w:t>
      </w:r>
      <w:r w:rsidR="00352F49" w:rsidRPr="00E36734">
        <w:rPr>
          <w:rFonts w:ascii="Times New Roman" w:hAnsi="Times New Roman" w:cs="Times New Roman"/>
          <w:sz w:val="24"/>
          <w:szCs w:val="24"/>
        </w:rPr>
        <w:t xml:space="preserve"> ένα μήνα</w:t>
      </w:r>
      <w:bookmarkEnd w:id="16"/>
      <w:r w:rsidR="00352F49" w:rsidRPr="00E36734">
        <w:rPr>
          <w:rFonts w:ascii="Times New Roman" w:hAnsi="Times New Roman" w:cs="Times New Roman"/>
          <w:sz w:val="24"/>
          <w:szCs w:val="24"/>
        </w:rPr>
        <w:t>. Από τα επιμέρους στοιχεία της ερευνάς φαίνεται ότι σε χειρότερη κατάσταση βρίσκονται οι υπηρεσίες</w:t>
      </w:r>
      <w:r w:rsidR="008C7281" w:rsidRPr="00E36734">
        <w:rPr>
          <w:rFonts w:ascii="Times New Roman" w:hAnsi="Times New Roman" w:cs="Times New Roman"/>
          <w:sz w:val="24"/>
          <w:szCs w:val="24"/>
        </w:rPr>
        <w:t xml:space="preserve"> (28% χωρίς ταμειακά διαθέσιμα)</w:t>
      </w:r>
      <w:r w:rsidR="00352F49" w:rsidRPr="00E36734">
        <w:rPr>
          <w:rFonts w:ascii="Times New Roman" w:hAnsi="Times New Roman" w:cs="Times New Roman"/>
          <w:sz w:val="24"/>
          <w:szCs w:val="24"/>
        </w:rPr>
        <w:t xml:space="preserve"> και οι επιχειρήσεις με ετήσιο τζίρο κάτω από 50.000 €</w:t>
      </w:r>
      <w:r w:rsidR="008C7281" w:rsidRPr="00E36734">
        <w:rPr>
          <w:rFonts w:ascii="Times New Roman" w:hAnsi="Times New Roman" w:cs="Times New Roman"/>
          <w:sz w:val="24"/>
          <w:szCs w:val="24"/>
        </w:rPr>
        <w:t xml:space="preserve"> (32,5% χωρίς ταμειακά διαθέσιμα)</w:t>
      </w:r>
      <w:r w:rsidR="00352F49" w:rsidRPr="00E36734">
        <w:rPr>
          <w:rFonts w:ascii="Times New Roman" w:hAnsi="Times New Roman" w:cs="Times New Roman"/>
          <w:sz w:val="24"/>
          <w:szCs w:val="24"/>
        </w:rPr>
        <w:t>.</w:t>
      </w:r>
    </w:p>
    <w:p w14:paraId="125E7D0C" w14:textId="64432C56" w:rsidR="001765DA" w:rsidRPr="00E36734" w:rsidRDefault="001765DA" w:rsidP="00761263">
      <w:pPr>
        <w:spacing w:after="0" w:line="360" w:lineRule="auto"/>
        <w:jc w:val="both"/>
        <w:rPr>
          <w:rFonts w:ascii="Times New Roman" w:hAnsi="Times New Roman" w:cs="Times New Roman"/>
          <w:sz w:val="24"/>
          <w:szCs w:val="24"/>
        </w:rPr>
      </w:pPr>
    </w:p>
    <w:p w14:paraId="67920551" w14:textId="58DEFB23" w:rsidR="001765DA" w:rsidRPr="00E36734" w:rsidRDefault="001765DA" w:rsidP="001765DA">
      <w:pPr>
        <w:spacing w:after="0" w:line="360" w:lineRule="auto"/>
        <w:jc w:val="center"/>
        <w:rPr>
          <w:rFonts w:ascii="Times New Roman" w:hAnsi="Times New Roman" w:cs="Times New Roman"/>
          <w:b/>
          <w:bCs/>
          <w:sz w:val="24"/>
          <w:szCs w:val="24"/>
        </w:rPr>
      </w:pPr>
      <w:r w:rsidRPr="00E36734">
        <w:rPr>
          <w:rFonts w:ascii="Times New Roman" w:hAnsi="Times New Roman" w:cs="Times New Roman"/>
          <w:b/>
          <w:bCs/>
          <w:sz w:val="24"/>
          <w:szCs w:val="24"/>
        </w:rPr>
        <w:t>Γράφημα</w:t>
      </w:r>
      <w:r w:rsidR="006D0D98" w:rsidRPr="00E36734">
        <w:rPr>
          <w:rFonts w:ascii="Times New Roman" w:hAnsi="Times New Roman" w:cs="Times New Roman"/>
          <w:b/>
          <w:bCs/>
          <w:sz w:val="24"/>
          <w:szCs w:val="24"/>
        </w:rPr>
        <w:t xml:space="preserve"> </w:t>
      </w:r>
      <w:r w:rsidR="00982B33" w:rsidRPr="00E36734">
        <w:rPr>
          <w:rFonts w:ascii="Times New Roman" w:hAnsi="Times New Roman" w:cs="Times New Roman"/>
          <w:b/>
          <w:bCs/>
          <w:sz w:val="24"/>
          <w:szCs w:val="24"/>
        </w:rPr>
        <w:t>10</w:t>
      </w:r>
    </w:p>
    <w:p w14:paraId="0008C3F3" w14:textId="09464357" w:rsidR="001765DA" w:rsidRPr="00E36734" w:rsidRDefault="001765DA" w:rsidP="001765DA">
      <w:pPr>
        <w:spacing w:after="0" w:line="360" w:lineRule="auto"/>
        <w:jc w:val="center"/>
        <w:rPr>
          <w:rFonts w:ascii="Times New Roman" w:hAnsi="Times New Roman" w:cs="Times New Roman"/>
          <w:b/>
          <w:bCs/>
          <w:sz w:val="24"/>
          <w:szCs w:val="24"/>
        </w:rPr>
      </w:pPr>
      <w:bookmarkStart w:id="17" w:name="_Hlk68075005"/>
      <w:r w:rsidRPr="00E36734">
        <w:rPr>
          <w:rFonts w:ascii="Times New Roman" w:hAnsi="Times New Roman" w:cs="Times New Roman"/>
          <w:b/>
          <w:bCs/>
          <w:sz w:val="24"/>
          <w:szCs w:val="24"/>
        </w:rPr>
        <w:t xml:space="preserve">Τα ταμειακά διαθέσιμα (η ρευστότητα της επιχείρησης) για πόσο καιρό επαρκούν </w:t>
      </w:r>
      <w:r w:rsidRPr="00E36734">
        <w:rPr>
          <w:rFonts w:ascii="Times New Roman" w:hAnsi="Times New Roman" w:cs="Times New Roman"/>
          <w:b/>
          <w:bCs/>
          <w:sz w:val="24"/>
          <w:szCs w:val="24"/>
        </w:rPr>
        <w:br/>
        <w:t>για να καλύψουν τις βασικές υποχρεώσεις της επιχείρησης;</w:t>
      </w:r>
    </w:p>
    <w:bookmarkEnd w:id="17"/>
    <w:p w14:paraId="42C510EF" w14:textId="2A978C04" w:rsidR="000948E7" w:rsidRPr="00E36734" w:rsidRDefault="003C733C" w:rsidP="000948E7">
      <w:pPr>
        <w:spacing w:after="0" w:line="360" w:lineRule="auto"/>
        <w:jc w:val="center"/>
        <w:rPr>
          <w:rFonts w:ascii="Times New Roman" w:eastAsiaTheme="majorEastAsia" w:hAnsi="Times New Roman" w:cs="Times New Roman"/>
          <w:b/>
          <w:color w:val="000000" w:themeColor="text1"/>
          <w:sz w:val="24"/>
          <w:szCs w:val="24"/>
        </w:rPr>
      </w:pPr>
      <w:r w:rsidRPr="00E36734">
        <w:rPr>
          <w:rFonts w:ascii="Times New Roman" w:eastAsiaTheme="majorEastAsia" w:hAnsi="Times New Roman" w:cs="Times New Roman"/>
          <w:b/>
          <w:noProof/>
          <w:color w:val="000000" w:themeColor="text1"/>
          <w:sz w:val="24"/>
          <w:szCs w:val="24"/>
          <w:lang w:eastAsia="el-GR"/>
        </w:rPr>
        <w:drawing>
          <wp:inline distT="0" distB="0" distL="0" distR="0" wp14:anchorId="12E348C7" wp14:editId="46A0CD32">
            <wp:extent cx="6570980" cy="3094990"/>
            <wp:effectExtent l="0" t="0" r="1270" b="10160"/>
            <wp:docPr id="6" name="Γράφημα 6">
              <a:extLst xmlns:a="http://schemas.openxmlformats.org/drawingml/2006/main">
                <a:ext uri="{FF2B5EF4-FFF2-40B4-BE49-F238E27FC236}">
                  <a16:creationId xmlns:a16="http://schemas.microsoft.com/office/drawing/2014/main"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E0AF77" w14:textId="175E9096" w:rsidR="008C7281" w:rsidRPr="00E36734" w:rsidRDefault="001A4A72" w:rsidP="000948E7">
      <w:pPr>
        <w:spacing w:after="0" w:line="360" w:lineRule="auto"/>
        <w:jc w:val="both"/>
        <w:rPr>
          <w:rFonts w:ascii="Times New Roman" w:eastAsia="Times New Roman" w:hAnsi="Times New Roman" w:cs="Times New Roman"/>
          <w:color w:val="222222"/>
          <w:sz w:val="24"/>
          <w:szCs w:val="24"/>
          <w:lang w:eastAsia="el-GR"/>
        </w:rPr>
      </w:pPr>
      <w:bookmarkStart w:id="18" w:name="_Hlk68246256"/>
      <w:r w:rsidRPr="00E36734">
        <w:rPr>
          <w:rFonts w:ascii="Times New Roman" w:eastAsia="Times New Roman" w:hAnsi="Times New Roman" w:cs="Times New Roman"/>
          <w:color w:val="222222"/>
          <w:sz w:val="24"/>
          <w:szCs w:val="24"/>
          <w:lang w:eastAsia="el-GR"/>
        </w:rPr>
        <w:t xml:space="preserve">Δυσμενέστερη είναι η εικόνα </w:t>
      </w:r>
      <w:r w:rsidR="006D0D98" w:rsidRPr="00E36734">
        <w:rPr>
          <w:rFonts w:ascii="Times New Roman" w:eastAsia="Times New Roman" w:hAnsi="Times New Roman" w:cs="Times New Roman"/>
          <w:color w:val="222222"/>
          <w:sz w:val="24"/>
          <w:szCs w:val="24"/>
          <w:lang w:eastAsia="el-GR"/>
        </w:rPr>
        <w:t>όσον</w:t>
      </w:r>
      <w:r w:rsidRPr="00E36734">
        <w:rPr>
          <w:rFonts w:ascii="Times New Roman" w:eastAsia="Times New Roman" w:hAnsi="Times New Roman" w:cs="Times New Roman"/>
          <w:color w:val="222222"/>
          <w:sz w:val="24"/>
          <w:szCs w:val="24"/>
          <w:lang w:eastAsia="el-GR"/>
        </w:rPr>
        <w:t xml:space="preserve"> αφορά τα ταμειακά διαθέσιμα το επιχειρήσεων που ανέστειλαν την λειτουργία τους με κρατική εντολή και ιδίως των επιχειρήσεων εστίασης. Όπως φαίνεται στον Πίνακα</w:t>
      </w:r>
      <w:r w:rsidR="006D0D98" w:rsidRPr="00E36734">
        <w:rPr>
          <w:rFonts w:ascii="Times New Roman" w:eastAsia="Times New Roman" w:hAnsi="Times New Roman" w:cs="Times New Roman"/>
          <w:color w:val="222222"/>
          <w:sz w:val="24"/>
          <w:szCs w:val="24"/>
          <w:lang w:eastAsia="el-GR"/>
        </w:rPr>
        <w:t xml:space="preserve"> 5</w:t>
      </w:r>
      <w:r w:rsidRPr="00E36734">
        <w:rPr>
          <w:rFonts w:ascii="Times New Roman" w:eastAsia="Times New Roman" w:hAnsi="Times New Roman" w:cs="Times New Roman"/>
          <w:color w:val="222222"/>
          <w:sz w:val="24"/>
          <w:szCs w:val="24"/>
          <w:lang w:eastAsia="el-GR"/>
        </w:rPr>
        <w:t xml:space="preserve"> το 36,1% των επιχειρήσεων που ανέστειλαν την λειτουργία τους δεν έχουν καθόλου ρευστότητα, ενώ για το 22,5% τα ταμειακά διαθέσιμα επαρκούν το πολύ για ένα μήνα. Χειρότερη φαίνεται πως είναι η κατάσταση για τις επιχειρήσεις εστίασης καθώς το 44,1% δεν έχει καθόλου ταμειακά διαθέσιμα</w:t>
      </w:r>
      <w:r w:rsidR="006D0D98" w:rsidRPr="00E36734">
        <w:rPr>
          <w:rFonts w:ascii="Times New Roman" w:eastAsia="Times New Roman" w:hAnsi="Times New Roman" w:cs="Times New Roman"/>
          <w:color w:val="222222"/>
          <w:sz w:val="24"/>
          <w:szCs w:val="24"/>
          <w:lang w:eastAsia="el-GR"/>
        </w:rPr>
        <w:t>,</w:t>
      </w:r>
      <w:r w:rsidRPr="00E36734">
        <w:rPr>
          <w:rFonts w:ascii="Times New Roman" w:eastAsia="Times New Roman" w:hAnsi="Times New Roman" w:cs="Times New Roman"/>
          <w:color w:val="222222"/>
          <w:sz w:val="24"/>
          <w:szCs w:val="24"/>
          <w:lang w:eastAsia="el-GR"/>
        </w:rPr>
        <w:t xml:space="preserve"> ενώ για το 19,2% επαρκούν το πολύ για ένα μήνα. </w:t>
      </w:r>
    </w:p>
    <w:bookmarkEnd w:id="18"/>
    <w:p w14:paraId="18D47D5C" w14:textId="77777777" w:rsidR="008C7281" w:rsidRPr="00E36734" w:rsidRDefault="008C7281" w:rsidP="000948E7">
      <w:pPr>
        <w:spacing w:after="0" w:line="360" w:lineRule="auto"/>
        <w:jc w:val="both"/>
        <w:rPr>
          <w:rFonts w:ascii="Times New Roman" w:eastAsia="Times New Roman" w:hAnsi="Times New Roman" w:cs="Times New Roman"/>
          <w:color w:val="222222"/>
          <w:sz w:val="24"/>
          <w:szCs w:val="24"/>
          <w:lang w:eastAsia="el-GR"/>
        </w:rPr>
      </w:pPr>
    </w:p>
    <w:tbl>
      <w:tblPr>
        <w:tblStyle w:val="a9"/>
        <w:tblW w:w="5000" w:type="pct"/>
        <w:tblLook w:val="04A0" w:firstRow="1" w:lastRow="0" w:firstColumn="1" w:lastColumn="0" w:noHBand="0" w:noVBand="1"/>
      </w:tblPr>
      <w:tblGrid>
        <w:gridCol w:w="2924"/>
        <w:gridCol w:w="1954"/>
        <w:gridCol w:w="1709"/>
        <w:gridCol w:w="1944"/>
        <w:gridCol w:w="2033"/>
      </w:tblGrid>
      <w:tr w:rsidR="008C7281" w:rsidRPr="00E36734" w14:paraId="5465A7B9" w14:textId="77777777" w:rsidTr="008C7281">
        <w:trPr>
          <w:trHeight w:val="288"/>
        </w:trPr>
        <w:tc>
          <w:tcPr>
            <w:tcW w:w="1384" w:type="pct"/>
            <w:vMerge w:val="restart"/>
            <w:shd w:val="clear" w:color="auto" w:fill="DBE5F1" w:themeFill="accent1" w:themeFillTint="33"/>
            <w:hideMark/>
          </w:tcPr>
          <w:p w14:paraId="39471BD8" w14:textId="076DB8FE" w:rsidR="006D0D98" w:rsidRPr="00E36734" w:rsidRDefault="006D0D98" w:rsidP="008C7281">
            <w:pPr>
              <w:spacing w:line="360" w:lineRule="auto"/>
              <w:jc w:val="center"/>
              <w:rPr>
                <w:b/>
                <w:bCs/>
                <w:color w:val="222222"/>
              </w:rPr>
            </w:pPr>
            <w:r w:rsidRPr="00E36734">
              <w:rPr>
                <w:b/>
                <w:bCs/>
                <w:color w:val="222222"/>
              </w:rPr>
              <w:lastRenderedPageBreak/>
              <w:t>Πίνακας 5</w:t>
            </w:r>
          </w:p>
          <w:p w14:paraId="15A18D4B" w14:textId="1592BC1B" w:rsidR="008C7281" w:rsidRPr="00E36734" w:rsidRDefault="008C7281" w:rsidP="008C7281">
            <w:pPr>
              <w:spacing w:line="360" w:lineRule="auto"/>
              <w:jc w:val="center"/>
              <w:rPr>
                <w:b/>
                <w:bCs/>
                <w:color w:val="222222"/>
                <w:sz w:val="18"/>
                <w:szCs w:val="18"/>
              </w:rPr>
            </w:pPr>
            <w:r w:rsidRPr="00E36734">
              <w:rPr>
                <w:b/>
                <w:bCs/>
                <w:color w:val="222222"/>
                <w:sz w:val="18"/>
                <w:szCs w:val="18"/>
              </w:rPr>
              <w:t>Τα ταμειακά διαθέσιμα (η ρευστότητα της επιχείρησης) για πόσο καιρό επαρκούν για να καλύψουν τις βασικές υποχρεώσεις της επιχείρησης;</w:t>
            </w:r>
          </w:p>
        </w:tc>
        <w:tc>
          <w:tcPr>
            <w:tcW w:w="2654" w:type="pct"/>
            <w:gridSpan w:val="3"/>
            <w:shd w:val="clear" w:color="auto" w:fill="DBE5F1" w:themeFill="accent1" w:themeFillTint="33"/>
            <w:hideMark/>
          </w:tcPr>
          <w:p w14:paraId="71B637CE" w14:textId="02CB0A00" w:rsidR="008C7281" w:rsidRPr="00E36734" w:rsidRDefault="008C7281" w:rsidP="008C7281">
            <w:pPr>
              <w:spacing w:line="360" w:lineRule="auto"/>
              <w:jc w:val="center"/>
              <w:rPr>
                <w:b/>
                <w:bCs/>
                <w:color w:val="222222"/>
                <w:sz w:val="18"/>
                <w:szCs w:val="18"/>
              </w:rPr>
            </w:pPr>
            <w:r w:rsidRPr="00E36734">
              <w:rPr>
                <w:b/>
                <w:bCs/>
                <w:color w:val="222222"/>
                <w:sz w:val="18"/>
                <w:szCs w:val="18"/>
              </w:rPr>
              <w:t>Η επιχε</w:t>
            </w:r>
            <w:r w:rsidR="004D3693" w:rsidRPr="00E36734">
              <w:rPr>
                <w:b/>
                <w:bCs/>
                <w:color w:val="222222"/>
                <w:sz w:val="18"/>
                <w:szCs w:val="18"/>
              </w:rPr>
              <w:t>ί</w:t>
            </w:r>
            <w:r w:rsidRPr="00E36734">
              <w:rPr>
                <w:b/>
                <w:bCs/>
                <w:color w:val="222222"/>
                <w:sz w:val="18"/>
                <w:szCs w:val="18"/>
              </w:rPr>
              <w:t>ρ</w:t>
            </w:r>
            <w:r w:rsidR="004D3693" w:rsidRPr="00E36734">
              <w:rPr>
                <w:b/>
                <w:bCs/>
                <w:color w:val="222222"/>
                <w:sz w:val="18"/>
                <w:szCs w:val="18"/>
              </w:rPr>
              <w:t>η</w:t>
            </w:r>
            <w:r w:rsidRPr="00E36734">
              <w:rPr>
                <w:b/>
                <w:bCs/>
                <w:color w:val="222222"/>
                <w:sz w:val="18"/>
                <w:szCs w:val="18"/>
              </w:rPr>
              <w:t>σή σας:</w:t>
            </w:r>
          </w:p>
        </w:tc>
        <w:tc>
          <w:tcPr>
            <w:tcW w:w="962" w:type="pct"/>
            <w:vMerge w:val="restart"/>
            <w:shd w:val="clear" w:color="auto" w:fill="DBE5F1" w:themeFill="accent1" w:themeFillTint="33"/>
            <w:hideMark/>
          </w:tcPr>
          <w:p w14:paraId="0122D16F" w14:textId="77777777" w:rsidR="008C7281" w:rsidRPr="00E36734" w:rsidRDefault="008C7281" w:rsidP="008C7281">
            <w:pPr>
              <w:spacing w:line="360" w:lineRule="auto"/>
              <w:jc w:val="both"/>
              <w:rPr>
                <w:b/>
                <w:bCs/>
                <w:color w:val="222222"/>
                <w:sz w:val="18"/>
                <w:szCs w:val="18"/>
              </w:rPr>
            </w:pPr>
          </w:p>
          <w:p w14:paraId="579E7DF0" w14:textId="77777777" w:rsidR="008C7281" w:rsidRPr="00E36734" w:rsidRDefault="008C7281" w:rsidP="008C7281">
            <w:pPr>
              <w:spacing w:line="360" w:lineRule="auto"/>
              <w:jc w:val="both"/>
              <w:rPr>
                <w:b/>
                <w:bCs/>
                <w:color w:val="222222"/>
                <w:sz w:val="18"/>
                <w:szCs w:val="18"/>
              </w:rPr>
            </w:pPr>
          </w:p>
          <w:p w14:paraId="7687D790" w14:textId="2FC94666" w:rsidR="008C7281" w:rsidRPr="00E36734" w:rsidRDefault="008C7281" w:rsidP="008C7281">
            <w:pPr>
              <w:spacing w:line="360" w:lineRule="auto"/>
              <w:jc w:val="both"/>
              <w:rPr>
                <w:b/>
                <w:bCs/>
                <w:color w:val="222222"/>
                <w:sz w:val="18"/>
                <w:szCs w:val="18"/>
              </w:rPr>
            </w:pPr>
            <w:r w:rsidRPr="00E36734">
              <w:rPr>
                <w:b/>
                <w:bCs/>
                <w:color w:val="222222"/>
                <w:sz w:val="18"/>
                <w:szCs w:val="18"/>
              </w:rPr>
              <w:t>Επιχειρήσεις εστίασης</w:t>
            </w:r>
          </w:p>
        </w:tc>
      </w:tr>
      <w:tr w:rsidR="008C7281" w:rsidRPr="00E36734" w14:paraId="2FE89EFB" w14:textId="77777777" w:rsidTr="008C7281">
        <w:trPr>
          <w:trHeight w:val="1214"/>
        </w:trPr>
        <w:tc>
          <w:tcPr>
            <w:tcW w:w="1384" w:type="pct"/>
            <w:vMerge/>
            <w:shd w:val="clear" w:color="auto" w:fill="DBE5F1" w:themeFill="accent1" w:themeFillTint="33"/>
            <w:hideMark/>
          </w:tcPr>
          <w:p w14:paraId="5AE03A26" w14:textId="77777777" w:rsidR="008C7281" w:rsidRPr="00E36734" w:rsidRDefault="008C7281" w:rsidP="008C7281">
            <w:pPr>
              <w:spacing w:line="360" w:lineRule="auto"/>
              <w:jc w:val="both"/>
              <w:rPr>
                <w:b/>
                <w:bCs/>
                <w:color w:val="222222"/>
                <w:sz w:val="18"/>
                <w:szCs w:val="18"/>
              </w:rPr>
            </w:pPr>
          </w:p>
        </w:tc>
        <w:tc>
          <w:tcPr>
            <w:tcW w:w="925" w:type="pct"/>
            <w:shd w:val="clear" w:color="auto" w:fill="DBE5F1" w:themeFill="accent1" w:themeFillTint="33"/>
            <w:hideMark/>
          </w:tcPr>
          <w:p w14:paraId="6723AAC1" w14:textId="77777777" w:rsidR="008C7281" w:rsidRPr="00E36734" w:rsidRDefault="008C7281" w:rsidP="008C7281">
            <w:pPr>
              <w:spacing w:line="360" w:lineRule="auto"/>
              <w:jc w:val="center"/>
              <w:rPr>
                <w:b/>
                <w:bCs/>
                <w:color w:val="222222"/>
                <w:sz w:val="18"/>
                <w:szCs w:val="18"/>
              </w:rPr>
            </w:pPr>
            <w:r w:rsidRPr="00E36734">
              <w:rPr>
                <w:b/>
                <w:bCs/>
                <w:color w:val="222222"/>
                <w:sz w:val="18"/>
                <w:szCs w:val="18"/>
              </w:rPr>
              <w:t>άνηκε σε εκείνες που βάσει ΚΑΔ ανέστειλαν την δραστηριότητα τους</w:t>
            </w:r>
          </w:p>
        </w:tc>
        <w:tc>
          <w:tcPr>
            <w:tcW w:w="809" w:type="pct"/>
            <w:shd w:val="clear" w:color="auto" w:fill="DBE5F1" w:themeFill="accent1" w:themeFillTint="33"/>
            <w:hideMark/>
          </w:tcPr>
          <w:p w14:paraId="5E5A9DFB" w14:textId="77777777" w:rsidR="008C7281" w:rsidRPr="00E36734" w:rsidRDefault="008C7281" w:rsidP="008C7281">
            <w:pPr>
              <w:spacing w:line="360" w:lineRule="auto"/>
              <w:jc w:val="center"/>
              <w:rPr>
                <w:b/>
                <w:bCs/>
                <w:color w:val="222222"/>
                <w:sz w:val="18"/>
                <w:szCs w:val="18"/>
              </w:rPr>
            </w:pPr>
            <w:r w:rsidRPr="00E36734">
              <w:rPr>
                <w:b/>
                <w:bCs/>
                <w:color w:val="222222"/>
                <w:sz w:val="18"/>
                <w:szCs w:val="18"/>
              </w:rPr>
              <w:t>άνηκε στις πληττόμενες βάσει ΚΑΔ επιχειρήσεις</w:t>
            </w:r>
          </w:p>
        </w:tc>
        <w:tc>
          <w:tcPr>
            <w:tcW w:w="920" w:type="pct"/>
            <w:shd w:val="clear" w:color="auto" w:fill="DBE5F1" w:themeFill="accent1" w:themeFillTint="33"/>
            <w:hideMark/>
          </w:tcPr>
          <w:p w14:paraId="556B874A" w14:textId="77777777" w:rsidR="008C7281" w:rsidRPr="00E36734" w:rsidRDefault="008C7281" w:rsidP="008C7281">
            <w:pPr>
              <w:spacing w:line="360" w:lineRule="auto"/>
              <w:jc w:val="center"/>
              <w:rPr>
                <w:b/>
                <w:bCs/>
                <w:color w:val="222222"/>
                <w:sz w:val="18"/>
                <w:szCs w:val="18"/>
              </w:rPr>
            </w:pPr>
            <w:r w:rsidRPr="00E36734">
              <w:rPr>
                <w:b/>
                <w:bCs/>
                <w:color w:val="222222"/>
                <w:sz w:val="18"/>
                <w:szCs w:val="18"/>
              </w:rPr>
              <w:t>δεν άνηκε σε καμία από τις παρακείμενες κατηγορίες</w:t>
            </w:r>
          </w:p>
        </w:tc>
        <w:tc>
          <w:tcPr>
            <w:tcW w:w="962" w:type="pct"/>
            <w:vMerge/>
            <w:shd w:val="clear" w:color="auto" w:fill="DBE5F1" w:themeFill="accent1" w:themeFillTint="33"/>
            <w:hideMark/>
          </w:tcPr>
          <w:p w14:paraId="19320B4F" w14:textId="77777777" w:rsidR="008C7281" w:rsidRPr="00E36734" w:rsidRDefault="008C7281" w:rsidP="008C7281">
            <w:pPr>
              <w:spacing w:line="360" w:lineRule="auto"/>
              <w:jc w:val="both"/>
              <w:rPr>
                <w:b/>
                <w:bCs/>
                <w:color w:val="222222"/>
                <w:sz w:val="18"/>
                <w:szCs w:val="18"/>
              </w:rPr>
            </w:pPr>
          </w:p>
        </w:tc>
      </w:tr>
      <w:tr w:rsidR="008C7281" w:rsidRPr="00E36734" w14:paraId="51F46A96" w14:textId="77777777" w:rsidTr="008C7281">
        <w:trPr>
          <w:trHeight w:val="288"/>
        </w:trPr>
        <w:tc>
          <w:tcPr>
            <w:tcW w:w="1384" w:type="pct"/>
            <w:noWrap/>
            <w:hideMark/>
          </w:tcPr>
          <w:p w14:paraId="0A27CF64" w14:textId="77777777" w:rsidR="008C7281" w:rsidRPr="00E36734" w:rsidRDefault="008C7281" w:rsidP="008C7281">
            <w:pPr>
              <w:spacing w:line="360" w:lineRule="auto"/>
              <w:jc w:val="both"/>
              <w:rPr>
                <w:color w:val="222222"/>
                <w:sz w:val="18"/>
                <w:szCs w:val="18"/>
              </w:rPr>
            </w:pPr>
            <w:r w:rsidRPr="00E36734">
              <w:rPr>
                <w:color w:val="222222"/>
                <w:sz w:val="18"/>
                <w:szCs w:val="18"/>
              </w:rPr>
              <w:t>Δεν υπάρχουν ταμειακά διαθέσιμα</w:t>
            </w:r>
          </w:p>
        </w:tc>
        <w:tc>
          <w:tcPr>
            <w:tcW w:w="925" w:type="pct"/>
            <w:noWrap/>
            <w:hideMark/>
          </w:tcPr>
          <w:p w14:paraId="344BD864" w14:textId="77777777" w:rsidR="008C7281" w:rsidRPr="00E36734" w:rsidRDefault="008C7281" w:rsidP="008C7281">
            <w:pPr>
              <w:spacing w:line="360" w:lineRule="auto"/>
              <w:jc w:val="center"/>
              <w:rPr>
                <w:color w:val="222222"/>
                <w:sz w:val="18"/>
                <w:szCs w:val="18"/>
              </w:rPr>
            </w:pPr>
            <w:r w:rsidRPr="00E36734">
              <w:rPr>
                <w:color w:val="222222"/>
                <w:sz w:val="18"/>
                <w:szCs w:val="18"/>
              </w:rPr>
              <w:t>36,1</w:t>
            </w:r>
          </w:p>
        </w:tc>
        <w:tc>
          <w:tcPr>
            <w:tcW w:w="809" w:type="pct"/>
            <w:noWrap/>
            <w:hideMark/>
          </w:tcPr>
          <w:p w14:paraId="5CB93C7C" w14:textId="77777777" w:rsidR="008C7281" w:rsidRPr="00E36734" w:rsidRDefault="008C7281" w:rsidP="008C7281">
            <w:pPr>
              <w:spacing w:line="360" w:lineRule="auto"/>
              <w:jc w:val="center"/>
              <w:rPr>
                <w:color w:val="222222"/>
                <w:sz w:val="18"/>
                <w:szCs w:val="18"/>
              </w:rPr>
            </w:pPr>
            <w:r w:rsidRPr="00E36734">
              <w:rPr>
                <w:color w:val="222222"/>
                <w:sz w:val="18"/>
                <w:szCs w:val="18"/>
              </w:rPr>
              <w:t>22,3</w:t>
            </w:r>
          </w:p>
        </w:tc>
        <w:tc>
          <w:tcPr>
            <w:tcW w:w="920" w:type="pct"/>
            <w:noWrap/>
            <w:hideMark/>
          </w:tcPr>
          <w:p w14:paraId="495237D0" w14:textId="77777777" w:rsidR="008C7281" w:rsidRPr="00E36734" w:rsidRDefault="008C7281" w:rsidP="008C7281">
            <w:pPr>
              <w:spacing w:line="360" w:lineRule="auto"/>
              <w:jc w:val="center"/>
              <w:rPr>
                <w:color w:val="222222"/>
                <w:sz w:val="18"/>
                <w:szCs w:val="18"/>
              </w:rPr>
            </w:pPr>
            <w:r w:rsidRPr="00E36734">
              <w:rPr>
                <w:color w:val="222222"/>
                <w:sz w:val="18"/>
                <w:szCs w:val="18"/>
              </w:rPr>
              <w:t>18,6</w:t>
            </w:r>
          </w:p>
        </w:tc>
        <w:tc>
          <w:tcPr>
            <w:tcW w:w="962" w:type="pct"/>
            <w:noWrap/>
            <w:hideMark/>
          </w:tcPr>
          <w:p w14:paraId="72340D70" w14:textId="77777777" w:rsidR="008C7281" w:rsidRPr="00E36734" w:rsidRDefault="008C7281" w:rsidP="008C7281">
            <w:pPr>
              <w:spacing w:line="360" w:lineRule="auto"/>
              <w:jc w:val="center"/>
              <w:rPr>
                <w:color w:val="222222"/>
                <w:sz w:val="18"/>
                <w:szCs w:val="18"/>
              </w:rPr>
            </w:pPr>
            <w:r w:rsidRPr="00E36734">
              <w:rPr>
                <w:color w:val="222222"/>
                <w:sz w:val="18"/>
                <w:szCs w:val="18"/>
              </w:rPr>
              <w:t>44,1</w:t>
            </w:r>
          </w:p>
        </w:tc>
      </w:tr>
      <w:tr w:rsidR="008C7281" w:rsidRPr="00E36734" w14:paraId="7B7B8779" w14:textId="77777777" w:rsidTr="008C7281">
        <w:trPr>
          <w:trHeight w:val="288"/>
        </w:trPr>
        <w:tc>
          <w:tcPr>
            <w:tcW w:w="1384" w:type="pct"/>
            <w:noWrap/>
            <w:hideMark/>
          </w:tcPr>
          <w:p w14:paraId="28A9E1B9" w14:textId="77777777" w:rsidR="008C7281" w:rsidRPr="00E36734" w:rsidRDefault="008C7281" w:rsidP="008C7281">
            <w:pPr>
              <w:spacing w:line="360" w:lineRule="auto"/>
              <w:jc w:val="both"/>
              <w:rPr>
                <w:color w:val="222222"/>
                <w:sz w:val="18"/>
                <w:szCs w:val="18"/>
              </w:rPr>
            </w:pPr>
            <w:r w:rsidRPr="00E36734">
              <w:rPr>
                <w:color w:val="222222"/>
                <w:sz w:val="18"/>
                <w:szCs w:val="18"/>
              </w:rPr>
              <w:t>Λιγότερο από μήνα</w:t>
            </w:r>
          </w:p>
        </w:tc>
        <w:tc>
          <w:tcPr>
            <w:tcW w:w="925" w:type="pct"/>
            <w:noWrap/>
            <w:hideMark/>
          </w:tcPr>
          <w:p w14:paraId="184538E5" w14:textId="77777777" w:rsidR="008C7281" w:rsidRPr="00E36734" w:rsidRDefault="008C7281" w:rsidP="008C7281">
            <w:pPr>
              <w:spacing w:line="360" w:lineRule="auto"/>
              <w:jc w:val="center"/>
              <w:rPr>
                <w:color w:val="222222"/>
                <w:sz w:val="18"/>
                <w:szCs w:val="18"/>
              </w:rPr>
            </w:pPr>
            <w:r w:rsidRPr="00E36734">
              <w:rPr>
                <w:color w:val="222222"/>
                <w:sz w:val="18"/>
                <w:szCs w:val="18"/>
              </w:rPr>
              <w:t>8,9</w:t>
            </w:r>
          </w:p>
        </w:tc>
        <w:tc>
          <w:tcPr>
            <w:tcW w:w="809" w:type="pct"/>
            <w:noWrap/>
            <w:hideMark/>
          </w:tcPr>
          <w:p w14:paraId="32A475FE" w14:textId="77777777" w:rsidR="008C7281" w:rsidRPr="00E36734" w:rsidRDefault="008C7281" w:rsidP="008C7281">
            <w:pPr>
              <w:spacing w:line="360" w:lineRule="auto"/>
              <w:jc w:val="center"/>
              <w:rPr>
                <w:color w:val="222222"/>
                <w:sz w:val="18"/>
                <w:szCs w:val="18"/>
              </w:rPr>
            </w:pPr>
            <w:r w:rsidRPr="00E36734">
              <w:rPr>
                <w:color w:val="222222"/>
                <w:sz w:val="18"/>
                <w:szCs w:val="18"/>
              </w:rPr>
              <w:t>8,1</w:t>
            </w:r>
          </w:p>
        </w:tc>
        <w:tc>
          <w:tcPr>
            <w:tcW w:w="920" w:type="pct"/>
            <w:noWrap/>
            <w:hideMark/>
          </w:tcPr>
          <w:p w14:paraId="6A4F7214" w14:textId="77777777" w:rsidR="008C7281" w:rsidRPr="00E36734" w:rsidRDefault="008C7281" w:rsidP="008C7281">
            <w:pPr>
              <w:spacing w:line="360" w:lineRule="auto"/>
              <w:jc w:val="center"/>
              <w:rPr>
                <w:color w:val="222222"/>
                <w:sz w:val="18"/>
                <w:szCs w:val="18"/>
              </w:rPr>
            </w:pPr>
            <w:r w:rsidRPr="00E36734">
              <w:rPr>
                <w:color w:val="222222"/>
                <w:sz w:val="18"/>
                <w:szCs w:val="18"/>
              </w:rPr>
              <w:t>13,7</w:t>
            </w:r>
          </w:p>
        </w:tc>
        <w:tc>
          <w:tcPr>
            <w:tcW w:w="962" w:type="pct"/>
            <w:noWrap/>
            <w:hideMark/>
          </w:tcPr>
          <w:p w14:paraId="04D85D2F" w14:textId="77777777" w:rsidR="008C7281" w:rsidRPr="00E36734" w:rsidRDefault="008C7281" w:rsidP="008C7281">
            <w:pPr>
              <w:spacing w:line="360" w:lineRule="auto"/>
              <w:jc w:val="center"/>
              <w:rPr>
                <w:color w:val="222222"/>
                <w:sz w:val="18"/>
                <w:szCs w:val="18"/>
              </w:rPr>
            </w:pPr>
            <w:r w:rsidRPr="00E36734">
              <w:rPr>
                <w:color w:val="222222"/>
                <w:sz w:val="18"/>
                <w:szCs w:val="18"/>
              </w:rPr>
              <w:t>7,4</w:t>
            </w:r>
          </w:p>
        </w:tc>
      </w:tr>
      <w:tr w:rsidR="008C7281" w:rsidRPr="00E36734" w14:paraId="6CD2EC61" w14:textId="77777777" w:rsidTr="008C7281">
        <w:trPr>
          <w:trHeight w:val="288"/>
        </w:trPr>
        <w:tc>
          <w:tcPr>
            <w:tcW w:w="1384" w:type="pct"/>
            <w:noWrap/>
            <w:hideMark/>
          </w:tcPr>
          <w:p w14:paraId="4D091E06" w14:textId="77777777" w:rsidR="008C7281" w:rsidRPr="00E36734" w:rsidRDefault="008C7281" w:rsidP="008C7281">
            <w:pPr>
              <w:spacing w:line="360" w:lineRule="auto"/>
              <w:jc w:val="both"/>
              <w:rPr>
                <w:color w:val="222222"/>
                <w:sz w:val="18"/>
                <w:szCs w:val="18"/>
              </w:rPr>
            </w:pPr>
            <w:r w:rsidRPr="00E36734">
              <w:rPr>
                <w:color w:val="222222"/>
                <w:sz w:val="18"/>
                <w:szCs w:val="18"/>
              </w:rPr>
              <w:t>Ένα μήνα</w:t>
            </w:r>
          </w:p>
        </w:tc>
        <w:tc>
          <w:tcPr>
            <w:tcW w:w="925" w:type="pct"/>
            <w:noWrap/>
            <w:hideMark/>
          </w:tcPr>
          <w:p w14:paraId="71D1A9C3" w14:textId="77777777" w:rsidR="008C7281" w:rsidRPr="00E36734" w:rsidRDefault="008C7281" w:rsidP="008C7281">
            <w:pPr>
              <w:spacing w:line="360" w:lineRule="auto"/>
              <w:jc w:val="center"/>
              <w:rPr>
                <w:color w:val="222222"/>
                <w:sz w:val="18"/>
                <w:szCs w:val="18"/>
              </w:rPr>
            </w:pPr>
            <w:r w:rsidRPr="00E36734">
              <w:rPr>
                <w:color w:val="222222"/>
                <w:sz w:val="18"/>
                <w:szCs w:val="18"/>
              </w:rPr>
              <w:t>13,6</w:t>
            </w:r>
          </w:p>
        </w:tc>
        <w:tc>
          <w:tcPr>
            <w:tcW w:w="809" w:type="pct"/>
            <w:noWrap/>
            <w:hideMark/>
          </w:tcPr>
          <w:p w14:paraId="136A9906" w14:textId="77777777" w:rsidR="008C7281" w:rsidRPr="00E36734" w:rsidRDefault="008C7281" w:rsidP="008C7281">
            <w:pPr>
              <w:spacing w:line="360" w:lineRule="auto"/>
              <w:jc w:val="center"/>
              <w:rPr>
                <w:color w:val="222222"/>
                <w:sz w:val="18"/>
                <w:szCs w:val="18"/>
              </w:rPr>
            </w:pPr>
            <w:r w:rsidRPr="00E36734">
              <w:rPr>
                <w:color w:val="222222"/>
                <w:sz w:val="18"/>
                <w:szCs w:val="18"/>
              </w:rPr>
              <w:t>15,9</w:t>
            </w:r>
          </w:p>
        </w:tc>
        <w:tc>
          <w:tcPr>
            <w:tcW w:w="920" w:type="pct"/>
            <w:noWrap/>
            <w:hideMark/>
          </w:tcPr>
          <w:p w14:paraId="7B7D4654" w14:textId="77777777" w:rsidR="008C7281" w:rsidRPr="00E36734" w:rsidRDefault="008C7281" w:rsidP="008C7281">
            <w:pPr>
              <w:spacing w:line="360" w:lineRule="auto"/>
              <w:jc w:val="center"/>
              <w:rPr>
                <w:color w:val="222222"/>
                <w:sz w:val="18"/>
                <w:szCs w:val="18"/>
              </w:rPr>
            </w:pPr>
            <w:r w:rsidRPr="00E36734">
              <w:rPr>
                <w:color w:val="222222"/>
                <w:sz w:val="18"/>
                <w:szCs w:val="18"/>
              </w:rPr>
              <w:t>12,0</w:t>
            </w:r>
          </w:p>
        </w:tc>
        <w:tc>
          <w:tcPr>
            <w:tcW w:w="962" w:type="pct"/>
            <w:noWrap/>
            <w:hideMark/>
          </w:tcPr>
          <w:p w14:paraId="10000BD7" w14:textId="77777777" w:rsidR="008C7281" w:rsidRPr="00E36734" w:rsidRDefault="008C7281" w:rsidP="008C7281">
            <w:pPr>
              <w:spacing w:line="360" w:lineRule="auto"/>
              <w:jc w:val="center"/>
              <w:rPr>
                <w:color w:val="222222"/>
                <w:sz w:val="18"/>
                <w:szCs w:val="18"/>
              </w:rPr>
            </w:pPr>
            <w:r w:rsidRPr="00E36734">
              <w:rPr>
                <w:color w:val="222222"/>
                <w:sz w:val="18"/>
                <w:szCs w:val="18"/>
              </w:rPr>
              <w:t>11,8</w:t>
            </w:r>
          </w:p>
        </w:tc>
      </w:tr>
      <w:tr w:rsidR="008C7281" w:rsidRPr="00E36734" w14:paraId="60EE0371" w14:textId="77777777" w:rsidTr="008C7281">
        <w:trPr>
          <w:trHeight w:val="288"/>
        </w:trPr>
        <w:tc>
          <w:tcPr>
            <w:tcW w:w="1384" w:type="pct"/>
            <w:noWrap/>
            <w:hideMark/>
          </w:tcPr>
          <w:p w14:paraId="72C324B2" w14:textId="0371C585" w:rsidR="008C7281" w:rsidRPr="00E36734" w:rsidRDefault="008C7281" w:rsidP="008C7281">
            <w:pPr>
              <w:spacing w:line="360" w:lineRule="auto"/>
              <w:jc w:val="both"/>
              <w:rPr>
                <w:color w:val="222222"/>
                <w:sz w:val="18"/>
                <w:szCs w:val="18"/>
              </w:rPr>
            </w:pPr>
            <w:r w:rsidRPr="00E36734">
              <w:rPr>
                <w:color w:val="222222"/>
                <w:sz w:val="18"/>
                <w:szCs w:val="18"/>
              </w:rPr>
              <w:t>Δύο μήνες</w:t>
            </w:r>
          </w:p>
        </w:tc>
        <w:tc>
          <w:tcPr>
            <w:tcW w:w="925" w:type="pct"/>
            <w:noWrap/>
            <w:hideMark/>
          </w:tcPr>
          <w:p w14:paraId="4363AA63" w14:textId="77777777" w:rsidR="008C7281" w:rsidRPr="00E36734" w:rsidRDefault="008C7281" w:rsidP="008C7281">
            <w:pPr>
              <w:spacing w:line="360" w:lineRule="auto"/>
              <w:jc w:val="center"/>
              <w:rPr>
                <w:color w:val="222222"/>
                <w:sz w:val="18"/>
                <w:szCs w:val="18"/>
              </w:rPr>
            </w:pPr>
            <w:r w:rsidRPr="00E36734">
              <w:rPr>
                <w:color w:val="222222"/>
                <w:sz w:val="18"/>
                <w:szCs w:val="18"/>
              </w:rPr>
              <w:t>15,7</w:t>
            </w:r>
          </w:p>
        </w:tc>
        <w:tc>
          <w:tcPr>
            <w:tcW w:w="809" w:type="pct"/>
            <w:noWrap/>
            <w:hideMark/>
          </w:tcPr>
          <w:p w14:paraId="618C7D31" w14:textId="77777777" w:rsidR="008C7281" w:rsidRPr="00E36734" w:rsidRDefault="008C7281" w:rsidP="008C7281">
            <w:pPr>
              <w:spacing w:line="360" w:lineRule="auto"/>
              <w:jc w:val="center"/>
              <w:rPr>
                <w:color w:val="222222"/>
                <w:sz w:val="18"/>
                <w:szCs w:val="18"/>
              </w:rPr>
            </w:pPr>
            <w:r w:rsidRPr="00E36734">
              <w:rPr>
                <w:color w:val="222222"/>
                <w:sz w:val="18"/>
                <w:szCs w:val="18"/>
              </w:rPr>
              <w:t>13,0</w:t>
            </w:r>
          </w:p>
        </w:tc>
        <w:tc>
          <w:tcPr>
            <w:tcW w:w="920" w:type="pct"/>
            <w:noWrap/>
            <w:hideMark/>
          </w:tcPr>
          <w:p w14:paraId="65ABA9D9" w14:textId="77777777" w:rsidR="008C7281" w:rsidRPr="00E36734" w:rsidRDefault="008C7281" w:rsidP="008C7281">
            <w:pPr>
              <w:spacing w:line="360" w:lineRule="auto"/>
              <w:jc w:val="center"/>
              <w:rPr>
                <w:color w:val="222222"/>
                <w:sz w:val="18"/>
                <w:szCs w:val="18"/>
              </w:rPr>
            </w:pPr>
            <w:r w:rsidRPr="00E36734">
              <w:rPr>
                <w:color w:val="222222"/>
                <w:sz w:val="18"/>
                <w:szCs w:val="18"/>
              </w:rPr>
              <w:t>13,7</w:t>
            </w:r>
          </w:p>
        </w:tc>
        <w:tc>
          <w:tcPr>
            <w:tcW w:w="962" w:type="pct"/>
            <w:noWrap/>
            <w:hideMark/>
          </w:tcPr>
          <w:p w14:paraId="059FDD00" w14:textId="77777777" w:rsidR="008C7281" w:rsidRPr="00E36734" w:rsidRDefault="008C7281" w:rsidP="008C7281">
            <w:pPr>
              <w:spacing w:line="360" w:lineRule="auto"/>
              <w:jc w:val="center"/>
              <w:rPr>
                <w:color w:val="222222"/>
                <w:sz w:val="18"/>
                <w:szCs w:val="18"/>
              </w:rPr>
            </w:pPr>
            <w:r w:rsidRPr="00E36734">
              <w:rPr>
                <w:color w:val="222222"/>
                <w:sz w:val="18"/>
                <w:szCs w:val="18"/>
              </w:rPr>
              <w:t>11,8</w:t>
            </w:r>
          </w:p>
        </w:tc>
      </w:tr>
      <w:tr w:rsidR="008C7281" w:rsidRPr="00E36734" w14:paraId="0866086B" w14:textId="77777777" w:rsidTr="008C7281">
        <w:trPr>
          <w:trHeight w:val="288"/>
        </w:trPr>
        <w:tc>
          <w:tcPr>
            <w:tcW w:w="1384" w:type="pct"/>
            <w:noWrap/>
            <w:hideMark/>
          </w:tcPr>
          <w:p w14:paraId="2606F9F7" w14:textId="77777777" w:rsidR="008C7281" w:rsidRPr="00E36734" w:rsidRDefault="008C7281" w:rsidP="008C7281">
            <w:pPr>
              <w:spacing w:line="360" w:lineRule="auto"/>
              <w:jc w:val="both"/>
              <w:rPr>
                <w:color w:val="222222"/>
                <w:sz w:val="18"/>
                <w:szCs w:val="18"/>
              </w:rPr>
            </w:pPr>
            <w:r w:rsidRPr="00E36734">
              <w:rPr>
                <w:color w:val="222222"/>
                <w:sz w:val="18"/>
                <w:szCs w:val="18"/>
              </w:rPr>
              <w:t>3-4 μήνες</w:t>
            </w:r>
          </w:p>
        </w:tc>
        <w:tc>
          <w:tcPr>
            <w:tcW w:w="925" w:type="pct"/>
            <w:noWrap/>
            <w:hideMark/>
          </w:tcPr>
          <w:p w14:paraId="74B0527E" w14:textId="77777777" w:rsidR="008C7281" w:rsidRPr="00E36734" w:rsidRDefault="008C7281" w:rsidP="008C7281">
            <w:pPr>
              <w:spacing w:line="360" w:lineRule="auto"/>
              <w:jc w:val="center"/>
              <w:rPr>
                <w:color w:val="222222"/>
                <w:sz w:val="18"/>
                <w:szCs w:val="18"/>
              </w:rPr>
            </w:pPr>
            <w:r w:rsidRPr="00E36734">
              <w:rPr>
                <w:color w:val="222222"/>
                <w:sz w:val="18"/>
                <w:szCs w:val="18"/>
              </w:rPr>
              <w:t>12,0</w:t>
            </w:r>
          </w:p>
        </w:tc>
        <w:tc>
          <w:tcPr>
            <w:tcW w:w="809" w:type="pct"/>
            <w:noWrap/>
            <w:hideMark/>
          </w:tcPr>
          <w:p w14:paraId="2B599CD8" w14:textId="77777777" w:rsidR="008C7281" w:rsidRPr="00E36734" w:rsidRDefault="008C7281" w:rsidP="008C7281">
            <w:pPr>
              <w:spacing w:line="360" w:lineRule="auto"/>
              <w:jc w:val="center"/>
              <w:rPr>
                <w:color w:val="222222"/>
                <w:sz w:val="18"/>
                <w:szCs w:val="18"/>
              </w:rPr>
            </w:pPr>
            <w:r w:rsidRPr="00E36734">
              <w:rPr>
                <w:color w:val="222222"/>
                <w:sz w:val="18"/>
                <w:szCs w:val="18"/>
              </w:rPr>
              <w:t>14,5</w:t>
            </w:r>
          </w:p>
        </w:tc>
        <w:tc>
          <w:tcPr>
            <w:tcW w:w="920" w:type="pct"/>
            <w:noWrap/>
            <w:hideMark/>
          </w:tcPr>
          <w:p w14:paraId="27E2C1B1" w14:textId="77777777" w:rsidR="008C7281" w:rsidRPr="00E36734" w:rsidRDefault="008C7281" w:rsidP="008C7281">
            <w:pPr>
              <w:spacing w:line="360" w:lineRule="auto"/>
              <w:jc w:val="center"/>
              <w:rPr>
                <w:color w:val="222222"/>
                <w:sz w:val="18"/>
                <w:szCs w:val="18"/>
              </w:rPr>
            </w:pPr>
            <w:r w:rsidRPr="00E36734">
              <w:rPr>
                <w:color w:val="222222"/>
                <w:sz w:val="18"/>
                <w:szCs w:val="18"/>
              </w:rPr>
              <w:t>10,9</w:t>
            </w:r>
          </w:p>
        </w:tc>
        <w:tc>
          <w:tcPr>
            <w:tcW w:w="962" w:type="pct"/>
            <w:noWrap/>
            <w:hideMark/>
          </w:tcPr>
          <w:p w14:paraId="412D781F" w14:textId="77777777" w:rsidR="008C7281" w:rsidRPr="00E36734" w:rsidRDefault="008C7281" w:rsidP="008C7281">
            <w:pPr>
              <w:spacing w:line="360" w:lineRule="auto"/>
              <w:jc w:val="center"/>
              <w:rPr>
                <w:color w:val="222222"/>
                <w:sz w:val="18"/>
                <w:szCs w:val="18"/>
              </w:rPr>
            </w:pPr>
            <w:r w:rsidRPr="00E36734">
              <w:rPr>
                <w:color w:val="222222"/>
                <w:sz w:val="18"/>
                <w:szCs w:val="18"/>
              </w:rPr>
              <w:t>10,3</w:t>
            </w:r>
          </w:p>
        </w:tc>
      </w:tr>
      <w:tr w:rsidR="008C7281" w:rsidRPr="00E36734" w14:paraId="6D322B61" w14:textId="77777777" w:rsidTr="008C7281">
        <w:trPr>
          <w:trHeight w:val="288"/>
        </w:trPr>
        <w:tc>
          <w:tcPr>
            <w:tcW w:w="1384" w:type="pct"/>
            <w:noWrap/>
            <w:hideMark/>
          </w:tcPr>
          <w:p w14:paraId="4D5DAB77" w14:textId="77777777" w:rsidR="008C7281" w:rsidRPr="00E36734" w:rsidRDefault="008C7281" w:rsidP="008C7281">
            <w:pPr>
              <w:spacing w:line="360" w:lineRule="auto"/>
              <w:jc w:val="both"/>
              <w:rPr>
                <w:color w:val="222222"/>
                <w:sz w:val="18"/>
                <w:szCs w:val="18"/>
              </w:rPr>
            </w:pPr>
            <w:r w:rsidRPr="00E36734">
              <w:rPr>
                <w:color w:val="222222"/>
                <w:sz w:val="18"/>
                <w:szCs w:val="18"/>
              </w:rPr>
              <w:t>5-6 μήνες</w:t>
            </w:r>
          </w:p>
        </w:tc>
        <w:tc>
          <w:tcPr>
            <w:tcW w:w="925" w:type="pct"/>
            <w:noWrap/>
            <w:hideMark/>
          </w:tcPr>
          <w:p w14:paraId="1D87CFB8" w14:textId="77777777" w:rsidR="008C7281" w:rsidRPr="00E36734" w:rsidRDefault="008C7281" w:rsidP="008C7281">
            <w:pPr>
              <w:spacing w:line="360" w:lineRule="auto"/>
              <w:jc w:val="center"/>
              <w:rPr>
                <w:color w:val="222222"/>
                <w:sz w:val="18"/>
                <w:szCs w:val="18"/>
              </w:rPr>
            </w:pPr>
            <w:r w:rsidRPr="00E36734">
              <w:rPr>
                <w:color w:val="222222"/>
                <w:sz w:val="18"/>
                <w:szCs w:val="18"/>
              </w:rPr>
              <w:t>6,8</w:t>
            </w:r>
          </w:p>
        </w:tc>
        <w:tc>
          <w:tcPr>
            <w:tcW w:w="809" w:type="pct"/>
            <w:noWrap/>
            <w:hideMark/>
          </w:tcPr>
          <w:p w14:paraId="7E38975D" w14:textId="77777777" w:rsidR="008C7281" w:rsidRPr="00E36734" w:rsidRDefault="008C7281" w:rsidP="008C7281">
            <w:pPr>
              <w:spacing w:line="360" w:lineRule="auto"/>
              <w:jc w:val="center"/>
              <w:rPr>
                <w:color w:val="222222"/>
                <w:sz w:val="18"/>
                <w:szCs w:val="18"/>
              </w:rPr>
            </w:pPr>
            <w:r w:rsidRPr="00E36734">
              <w:rPr>
                <w:color w:val="222222"/>
                <w:sz w:val="18"/>
                <w:szCs w:val="18"/>
              </w:rPr>
              <w:t>11,1</w:t>
            </w:r>
          </w:p>
        </w:tc>
        <w:tc>
          <w:tcPr>
            <w:tcW w:w="920" w:type="pct"/>
            <w:noWrap/>
            <w:hideMark/>
          </w:tcPr>
          <w:p w14:paraId="5C13BC9A" w14:textId="77777777" w:rsidR="008C7281" w:rsidRPr="00E36734" w:rsidRDefault="008C7281" w:rsidP="008C7281">
            <w:pPr>
              <w:spacing w:line="360" w:lineRule="auto"/>
              <w:jc w:val="center"/>
              <w:rPr>
                <w:color w:val="222222"/>
                <w:sz w:val="18"/>
                <w:szCs w:val="18"/>
              </w:rPr>
            </w:pPr>
            <w:r w:rsidRPr="00E36734">
              <w:rPr>
                <w:color w:val="222222"/>
                <w:sz w:val="18"/>
                <w:szCs w:val="18"/>
              </w:rPr>
              <w:t>10,9</w:t>
            </w:r>
          </w:p>
        </w:tc>
        <w:tc>
          <w:tcPr>
            <w:tcW w:w="962" w:type="pct"/>
            <w:noWrap/>
            <w:hideMark/>
          </w:tcPr>
          <w:p w14:paraId="7C37367C" w14:textId="77777777" w:rsidR="008C7281" w:rsidRPr="00E36734" w:rsidRDefault="008C7281" w:rsidP="008C7281">
            <w:pPr>
              <w:spacing w:line="360" w:lineRule="auto"/>
              <w:jc w:val="center"/>
              <w:rPr>
                <w:color w:val="222222"/>
                <w:sz w:val="18"/>
                <w:szCs w:val="18"/>
              </w:rPr>
            </w:pPr>
            <w:r w:rsidRPr="00E36734">
              <w:rPr>
                <w:color w:val="222222"/>
                <w:sz w:val="18"/>
                <w:szCs w:val="18"/>
              </w:rPr>
              <w:t>5,9</w:t>
            </w:r>
          </w:p>
        </w:tc>
      </w:tr>
      <w:tr w:rsidR="008C7281" w:rsidRPr="00E36734" w14:paraId="5B8B7654" w14:textId="77777777" w:rsidTr="008C7281">
        <w:trPr>
          <w:trHeight w:val="288"/>
        </w:trPr>
        <w:tc>
          <w:tcPr>
            <w:tcW w:w="1384" w:type="pct"/>
            <w:noWrap/>
            <w:hideMark/>
          </w:tcPr>
          <w:p w14:paraId="38B71DA7" w14:textId="77777777" w:rsidR="008C7281" w:rsidRPr="00E36734" w:rsidRDefault="008C7281" w:rsidP="008C7281">
            <w:pPr>
              <w:spacing w:line="360" w:lineRule="auto"/>
              <w:jc w:val="both"/>
              <w:rPr>
                <w:color w:val="222222"/>
                <w:sz w:val="18"/>
                <w:szCs w:val="18"/>
              </w:rPr>
            </w:pPr>
            <w:r w:rsidRPr="00E36734">
              <w:rPr>
                <w:color w:val="222222"/>
                <w:sz w:val="18"/>
                <w:szCs w:val="18"/>
              </w:rPr>
              <w:t>Περισσότερο από 6 μήνες</w:t>
            </w:r>
          </w:p>
        </w:tc>
        <w:tc>
          <w:tcPr>
            <w:tcW w:w="925" w:type="pct"/>
            <w:noWrap/>
            <w:hideMark/>
          </w:tcPr>
          <w:p w14:paraId="63F95B6B" w14:textId="77777777" w:rsidR="008C7281" w:rsidRPr="00E36734" w:rsidRDefault="008C7281" w:rsidP="008C7281">
            <w:pPr>
              <w:spacing w:line="360" w:lineRule="auto"/>
              <w:jc w:val="center"/>
              <w:rPr>
                <w:color w:val="222222"/>
                <w:sz w:val="18"/>
                <w:szCs w:val="18"/>
              </w:rPr>
            </w:pPr>
            <w:r w:rsidRPr="00E36734">
              <w:rPr>
                <w:color w:val="222222"/>
                <w:sz w:val="18"/>
                <w:szCs w:val="18"/>
              </w:rPr>
              <w:t>2,1</w:t>
            </w:r>
          </w:p>
        </w:tc>
        <w:tc>
          <w:tcPr>
            <w:tcW w:w="809" w:type="pct"/>
            <w:noWrap/>
            <w:hideMark/>
          </w:tcPr>
          <w:p w14:paraId="70350A36" w14:textId="77777777" w:rsidR="008C7281" w:rsidRPr="00E36734" w:rsidRDefault="008C7281" w:rsidP="008C7281">
            <w:pPr>
              <w:spacing w:line="360" w:lineRule="auto"/>
              <w:jc w:val="center"/>
              <w:rPr>
                <w:color w:val="222222"/>
                <w:sz w:val="18"/>
                <w:szCs w:val="18"/>
              </w:rPr>
            </w:pPr>
            <w:r w:rsidRPr="00E36734">
              <w:rPr>
                <w:color w:val="222222"/>
                <w:sz w:val="18"/>
                <w:szCs w:val="18"/>
              </w:rPr>
              <w:t>8,1</w:t>
            </w:r>
          </w:p>
        </w:tc>
        <w:tc>
          <w:tcPr>
            <w:tcW w:w="920" w:type="pct"/>
            <w:noWrap/>
            <w:hideMark/>
          </w:tcPr>
          <w:p w14:paraId="3DD59A80" w14:textId="77777777" w:rsidR="008C7281" w:rsidRPr="00E36734" w:rsidRDefault="008C7281" w:rsidP="008C7281">
            <w:pPr>
              <w:spacing w:line="360" w:lineRule="auto"/>
              <w:jc w:val="center"/>
              <w:rPr>
                <w:color w:val="222222"/>
                <w:sz w:val="18"/>
                <w:szCs w:val="18"/>
              </w:rPr>
            </w:pPr>
            <w:r w:rsidRPr="00E36734">
              <w:rPr>
                <w:color w:val="222222"/>
                <w:sz w:val="18"/>
                <w:szCs w:val="18"/>
              </w:rPr>
              <w:t>12,0</w:t>
            </w:r>
          </w:p>
        </w:tc>
        <w:tc>
          <w:tcPr>
            <w:tcW w:w="962" w:type="pct"/>
            <w:noWrap/>
            <w:hideMark/>
          </w:tcPr>
          <w:p w14:paraId="4694F518" w14:textId="77777777" w:rsidR="008C7281" w:rsidRPr="00E36734" w:rsidRDefault="008C7281" w:rsidP="008C7281">
            <w:pPr>
              <w:spacing w:line="360" w:lineRule="auto"/>
              <w:jc w:val="center"/>
              <w:rPr>
                <w:color w:val="222222"/>
                <w:sz w:val="18"/>
                <w:szCs w:val="18"/>
              </w:rPr>
            </w:pPr>
            <w:r w:rsidRPr="00E36734">
              <w:rPr>
                <w:color w:val="222222"/>
                <w:sz w:val="18"/>
                <w:szCs w:val="18"/>
              </w:rPr>
              <w:t>0,0</w:t>
            </w:r>
          </w:p>
        </w:tc>
      </w:tr>
    </w:tbl>
    <w:p w14:paraId="195800DB" w14:textId="77777777" w:rsidR="008C7281" w:rsidRPr="00E36734" w:rsidRDefault="008C7281" w:rsidP="000948E7">
      <w:pPr>
        <w:spacing w:after="0" w:line="360" w:lineRule="auto"/>
        <w:jc w:val="both"/>
        <w:rPr>
          <w:rFonts w:ascii="Times New Roman" w:eastAsia="Times New Roman" w:hAnsi="Times New Roman" w:cs="Times New Roman"/>
          <w:color w:val="222222"/>
          <w:sz w:val="24"/>
          <w:szCs w:val="24"/>
          <w:lang w:eastAsia="el-GR"/>
        </w:rPr>
      </w:pPr>
    </w:p>
    <w:p w14:paraId="1DE893DA" w14:textId="15F3B1A1" w:rsidR="008C7281" w:rsidRPr="00E36734" w:rsidRDefault="00694711" w:rsidP="006D0D98">
      <w:pPr>
        <w:spacing w:after="0" w:line="360" w:lineRule="auto"/>
        <w:jc w:val="both"/>
        <w:rPr>
          <w:rFonts w:ascii="Times New Roman" w:eastAsia="Times New Roman" w:hAnsi="Times New Roman" w:cs="Times New Roman"/>
          <w:b/>
          <w:bCs/>
          <w:color w:val="222222"/>
          <w:sz w:val="24"/>
          <w:szCs w:val="24"/>
          <w:u w:val="single"/>
          <w:lang w:eastAsia="el-GR"/>
        </w:rPr>
      </w:pPr>
      <w:r w:rsidRPr="00E36734">
        <w:rPr>
          <w:rFonts w:ascii="Times New Roman" w:eastAsia="Times New Roman" w:hAnsi="Times New Roman" w:cs="Times New Roman"/>
          <w:b/>
          <w:bCs/>
          <w:color w:val="222222"/>
          <w:sz w:val="24"/>
          <w:szCs w:val="24"/>
          <w:u w:val="single"/>
          <w:lang w:eastAsia="el-GR"/>
        </w:rPr>
        <w:t>Επενδύσεις</w:t>
      </w:r>
    </w:p>
    <w:p w14:paraId="1D2789E0" w14:textId="419C37F7" w:rsidR="000948E7" w:rsidRPr="00E36734" w:rsidRDefault="006D0D98" w:rsidP="000948E7">
      <w:pPr>
        <w:spacing w:after="0" w:line="360" w:lineRule="auto"/>
        <w:jc w:val="both"/>
        <w:rPr>
          <w:rFonts w:ascii="Times New Roman" w:eastAsia="Times New Roman" w:hAnsi="Times New Roman" w:cs="Times New Roman"/>
          <w:color w:val="222222"/>
          <w:sz w:val="24"/>
          <w:szCs w:val="24"/>
          <w:lang w:eastAsia="el-GR"/>
        </w:rPr>
      </w:pPr>
      <w:r w:rsidRPr="00E36734">
        <w:rPr>
          <w:rFonts w:ascii="Times New Roman" w:eastAsia="Times New Roman" w:hAnsi="Times New Roman" w:cs="Times New Roman"/>
          <w:color w:val="222222"/>
          <w:sz w:val="24"/>
          <w:szCs w:val="24"/>
          <w:lang w:eastAsia="el-GR"/>
        </w:rPr>
        <w:t>Τ</w:t>
      </w:r>
      <w:r w:rsidR="000948E7" w:rsidRPr="00E36734">
        <w:rPr>
          <w:rFonts w:ascii="Times New Roman" w:eastAsia="Times New Roman" w:hAnsi="Times New Roman" w:cs="Times New Roman"/>
          <w:color w:val="222222"/>
          <w:sz w:val="24"/>
          <w:szCs w:val="24"/>
          <w:lang w:eastAsia="el-GR"/>
        </w:rPr>
        <w:t xml:space="preserve">ο </w:t>
      </w:r>
      <w:r w:rsidR="0024078D" w:rsidRPr="00E36734">
        <w:rPr>
          <w:rFonts w:ascii="Times New Roman" w:eastAsia="Times New Roman" w:hAnsi="Times New Roman" w:cs="Times New Roman"/>
          <w:color w:val="222222"/>
          <w:sz w:val="24"/>
          <w:szCs w:val="24"/>
          <w:lang w:eastAsia="el-GR"/>
        </w:rPr>
        <w:t>10,5</w:t>
      </w:r>
      <w:r w:rsidR="000948E7" w:rsidRPr="00E36734">
        <w:rPr>
          <w:rFonts w:ascii="Times New Roman" w:eastAsia="Times New Roman" w:hAnsi="Times New Roman" w:cs="Times New Roman"/>
          <w:color w:val="222222"/>
          <w:sz w:val="24"/>
          <w:szCs w:val="24"/>
          <w:lang w:eastAsia="el-GR"/>
        </w:rPr>
        <w:t xml:space="preserve">% των επιχειρήσεων προχώρησε σε επενδύσεις </w:t>
      </w:r>
      <w:r w:rsidRPr="00E36734">
        <w:rPr>
          <w:rFonts w:ascii="Times New Roman" w:eastAsia="Times New Roman" w:hAnsi="Times New Roman" w:cs="Times New Roman"/>
          <w:color w:val="222222"/>
          <w:sz w:val="24"/>
          <w:szCs w:val="24"/>
          <w:lang w:eastAsia="el-GR"/>
        </w:rPr>
        <w:t xml:space="preserve">το Β εξάμηνο του 2020, </w:t>
      </w:r>
      <w:r w:rsidR="000948E7" w:rsidRPr="00E36734">
        <w:rPr>
          <w:rFonts w:ascii="Times New Roman" w:eastAsia="Times New Roman" w:hAnsi="Times New Roman" w:cs="Times New Roman"/>
          <w:color w:val="222222"/>
          <w:sz w:val="24"/>
          <w:szCs w:val="24"/>
          <w:lang w:eastAsia="el-GR"/>
        </w:rPr>
        <w:t xml:space="preserve">έναντι </w:t>
      </w:r>
      <w:r w:rsidRPr="00E36734">
        <w:rPr>
          <w:rFonts w:ascii="Times New Roman" w:eastAsia="Times New Roman" w:hAnsi="Times New Roman" w:cs="Times New Roman"/>
          <w:color w:val="222222"/>
          <w:sz w:val="24"/>
          <w:szCs w:val="24"/>
          <w:lang w:eastAsia="el-GR"/>
        </w:rPr>
        <w:t xml:space="preserve">του </w:t>
      </w:r>
      <w:r w:rsidR="00E55E93" w:rsidRPr="00E36734">
        <w:rPr>
          <w:rFonts w:ascii="Times New Roman" w:eastAsia="Times New Roman" w:hAnsi="Times New Roman" w:cs="Times New Roman"/>
          <w:color w:val="222222"/>
          <w:sz w:val="24"/>
          <w:szCs w:val="24"/>
          <w:lang w:eastAsia="el-GR"/>
        </w:rPr>
        <w:t>16.2</w:t>
      </w:r>
      <w:r w:rsidR="000948E7" w:rsidRPr="00E36734">
        <w:rPr>
          <w:rFonts w:ascii="Times New Roman" w:eastAsia="Times New Roman" w:hAnsi="Times New Roman" w:cs="Times New Roman"/>
          <w:color w:val="222222"/>
          <w:sz w:val="24"/>
          <w:szCs w:val="24"/>
          <w:lang w:eastAsia="el-GR"/>
        </w:rPr>
        <w:t>% του αντίστοιχου περσινού διαστήματος (Γράφημα</w:t>
      </w:r>
      <w:r w:rsidR="00982B33" w:rsidRPr="00E36734">
        <w:rPr>
          <w:rFonts w:ascii="Times New Roman" w:eastAsia="Times New Roman" w:hAnsi="Times New Roman" w:cs="Times New Roman"/>
          <w:color w:val="222222"/>
          <w:sz w:val="24"/>
          <w:szCs w:val="24"/>
          <w:lang w:eastAsia="el-GR"/>
        </w:rPr>
        <w:t xml:space="preserve"> 11</w:t>
      </w:r>
      <w:r w:rsidR="000948E7" w:rsidRPr="00E36734">
        <w:rPr>
          <w:rFonts w:ascii="Times New Roman" w:eastAsia="Times New Roman" w:hAnsi="Times New Roman" w:cs="Times New Roman"/>
          <w:color w:val="222222"/>
          <w:sz w:val="24"/>
          <w:szCs w:val="24"/>
          <w:lang w:eastAsia="el-GR"/>
        </w:rPr>
        <w:t xml:space="preserve">). Οι επιχειρήσεις που δραστηριοποιούνται στον </w:t>
      </w:r>
      <w:r w:rsidR="00307DCA" w:rsidRPr="00E36734">
        <w:rPr>
          <w:rFonts w:ascii="Times New Roman" w:eastAsia="Times New Roman" w:hAnsi="Times New Roman" w:cs="Times New Roman"/>
          <w:color w:val="222222"/>
          <w:sz w:val="24"/>
          <w:szCs w:val="24"/>
          <w:lang w:eastAsia="el-GR"/>
        </w:rPr>
        <w:t>τομέα</w:t>
      </w:r>
      <w:r w:rsidR="000948E7" w:rsidRPr="00E36734">
        <w:rPr>
          <w:rFonts w:ascii="Times New Roman" w:eastAsia="Times New Roman" w:hAnsi="Times New Roman" w:cs="Times New Roman"/>
          <w:color w:val="222222"/>
          <w:sz w:val="24"/>
          <w:szCs w:val="24"/>
          <w:lang w:eastAsia="el-GR"/>
        </w:rPr>
        <w:t xml:space="preserve"> </w:t>
      </w:r>
      <w:r w:rsidR="00E55E93" w:rsidRPr="00E36734">
        <w:rPr>
          <w:rFonts w:ascii="Times New Roman" w:eastAsia="Times New Roman" w:hAnsi="Times New Roman" w:cs="Times New Roman"/>
          <w:color w:val="222222"/>
          <w:sz w:val="24"/>
          <w:szCs w:val="24"/>
          <w:lang w:eastAsia="el-GR"/>
        </w:rPr>
        <w:t>του εμπορίου</w:t>
      </w:r>
      <w:r w:rsidR="000948E7" w:rsidRPr="00E36734">
        <w:rPr>
          <w:rFonts w:ascii="Times New Roman" w:eastAsia="Times New Roman" w:hAnsi="Times New Roman" w:cs="Times New Roman"/>
          <w:color w:val="222222"/>
          <w:sz w:val="24"/>
          <w:szCs w:val="24"/>
          <w:lang w:eastAsia="el-GR"/>
        </w:rPr>
        <w:t xml:space="preserve"> καταγράφουν την καλύτερη επίδοση (</w:t>
      </w:r>
      <w:r w:rsidR="00E55E93" w:rsidRPr="00E36734">
        <w:rPr>
          <w:rFonts w:ascii="Times New Roman" w:eastAsia="Times New Roman" w:hAnsi="Times New Roman" w:cs="Times New Roman"/>
          <w:color w:val="222222"/>
          <w:sz w:val="24"/>
          <w:szCs w:val="24"/>
          <w:lang w:eastAsia="el-GR"/>
        </w:rPr>
        <w:t>14,5</w:t>
      </w:r>
      <w:r w:rsidR="000948E7" w:rsidRPr="00E36734">
        <w:rPr>
          <w:rFonts w:ascii="Times New Roman" w:eastAsia="Times New Roman" w:hAnsi="Times New Roman" w:cs="Times New Roman"/>
          <w:color w:val="222222"/>
          <w:sz w:val="24"/>
          <w:szCs w:val="24"/>
          <w:lang w:eastAsia="el-GR"/>
        </w:rPr>
        <w:t>%) έναντι των υπηρεσιών (</w:t>
      </w:r>
      <w:r w:rsidR="00E55E93" w:rsidRPr="00E36734">
        <w:rPr>
          <w:rFonts w:ascii="Times New Roman" w:eastAsia="Times New Roman" w:hAnsi="Times New Roman" w:cs="Times New Roman"/>
          <w:color w:val="222222"/>
          <w:sz w:val="24"/>
          <w:szCs w:val="24"/>
          <w:lang w:eastAsia="el-GR"/>
        </w:rPr>
        <w:t>9</w:t>
      </w:r>
      <w:r w:rsidR="000948E7" w:rsidRPr="00E36734">
        <w:rPr>
          <w:rFonts w:ascii="Times New Roman" w:eastAsia="Times New Roman" w:hAnsi="Times New Roman" w:cs="Times New Roman"/>
          <w:color w:val="222222"/>
          <w:sz w:val="24"/>
          <w:szCs w:val="24"/>
          <w:lang w:eastAsia="el-GR"/>
        </w:rPr>
        <w:t xml:space="preserve">%) και </w:t>
      </w:r>
      <w:r w:rsidR="00E55E93" w:rsidRPr="00E36734">
        <w:rPr>
          <w:rFonts w:ascii="Times New Roman" w:eastAsia="Times New Roman" w:hAnsi="Times New Roman" w:cs="Times New Roman"/>
          <w:color w:val="222222"/>
          <w:sz w:val="24"/>
          <w:szCs w:val="24"/>
          <w:lang w:eastAsia="el-GR"/>
        </w:rPr>
        <w:t>της μεταποίησης</w:t>
      </w:r>
      <w:r w:rsidR="000948E7" w:rsidRPr="00E36734">
        <w:rPr>
          <w:rFonts w:ascii="Times New Roman" w:eastAsia="Times New Roman" w:hAnsi="Times New Roman" w:cs="Times New Roman"/>
          <w:color w:val="222222"/>
          <w:sz w:val="24"/>
          <w:szCs w:val="24"/>
          <w:lang w:eastAsia="el-GR"/>
        </w:rPr>
        <w:t xml:space="preserve"> (</w:t>
      </w:r>
      <w:r w:rsidR="00E55E93" w:rsidRPr="00E36734">
        <w:rPr>
          <w:rFonts w:ascii="Times New Roman" w:eastAsia="Times New Roman" w:hAnsi="Times New Roman" w:cs="Times New Roman"/>
          <w:color w:val="222222"/>
          <w:sz w:val="24"/>
          <w:szCs w:val="24"/>
          <w:lang w:eastAsia="el-GR"/>
        </w:rPr>
        <w:t>6,7</w:t>
      </w:r>
      <w:r w:rsidR="000948E7" w:rsidRPr="00E36734">
        <w:rPr>
          <w:rFonts w:ascii="Times New Roman" w:eastAsia="Times New Roman" w:hAnsi="Times New Roman" w:cs="Times New Roman"/>
          <w:color w:val="222222"/>
          <w:sz w:val="24"/>
          <w:szCs w:val="24"/>
          <w:lang w:eastAsia="el-GR"/>
        </w:rPr>
        <w:t xml:space="preserve">%). </w:t>
      </w:r>
      <w:r w:rsidR="00E55E93" w:rsidRPr="00E36734">
        <w:rPr>
          <w:rFonts w:ascii="Times New Roman" w:eastAsia="Times New Roman" w:hAnsi="Times New Roman" w:cs="Times New Roman"/>
          <w:color w:val="222222"/>
          <w:sz w:val="24"/>
          <w:szCs w:val="24"/>
          <w:lang w:eastAsia="el-GR"/>
        </w:rPr>
        <w:t>Επιπλέον τις καλύτερες επιδόσεις</w:t>
      </w:r>
      <w:r w:rsidRPr="00E36734">
        <w:rPr>
          <w:rFonts w:ascii="Times New Roman" w:eastAsia="Times New Roman" w:hAnsi="Times New Roman" w:cs="Times New Roman"/>
          <w:color w:val="222222"/>
          <w:sz w:val="24"/>
          <w:szCs w:val="24"/>
          <w:lang w:eastAsia="el-GR"/>
        </w:rPr>
        <w:t>,</w:t>
      </w:r>
      <w:r w:rsidR="00E55E93" w:rsidRPr="00E36734">
        <w:rPr>
          <w:rFonts w:ascii="Times New Roman" w:eastAsia="Times New Roman" w:hAnsi="Times New Roman" w:cs="Times New Roman"/>
          <w:color w:val="222222"/>
          <w:sz w:val="24"/>
          <w:szCs w:val="24"/>
          <w:lang w:eastAsia="el-GR"/>
        </w:rPr>
        <w:t xml:space="preserve"> με διαφορά μάλιστα τουλάχιστον 10 ποσοστιαίων μονάδων</w:t>
      </w:r>
      <w:r w:rsidR="00DC1A1E" w:rsidRPr="00E36734">
        <w:rPr>
          <w:rFonts w:ascii="Times New Roman" w:eastAsia="Times New Roman" w:hAnsi="Times New Roman" w:cs="Times New Roman"/>
          <w:color w:val="222222"/>
          <w:sz w:val="24"/>
          <w:szCs w:val="24"/>
          <w:lang w:eastAsia="el-GR"/>
        </w:rPr>
        <w:t xml:space="preserve"> από τις υπόλοιπες κατηγορίες</w:t>
      </w:r>
      <w:r w:rsidRPr="00E36734">
        <w:rPr>
          <w:rFonts w:ascii="Times New Roman" w:eastAsia="Times New Roman" w:hAnsi="Times New Roman" w:cs="Times New Roman"/>
          <w:color w:val="222222"/>
          <w:sz w:val="24"/>
          <w:szCs w:val="24"/>
          <w:lang w:eastAsia="el-GR"/>
        </w:rPr>
        <w:t>,</w:t>
      </w:r>
      <w:r w:rsidR="00DC1A1E" w:rsidRPr="00E36734">
        <w:rPr>
          <w:rFonts w:ascii="Times New Roman" w:eastAsia="Times New Roman" w:hAnsi="Times New Roman" w:cs="Times New Roman"/>
          <w:color w:val="222222"/>
          <w:sz w:val="24"/>
          <w:szCs w:val="24"/>
          <w:lang w:eastAsia="el-GR"/>
        </w:rPr>
        <w:t xml:space="preserve"> καταγράφουν οι επιχειρήσεις με ετήσιο κύκλο εργασιών πάνω από 300.000 € (22,5%).</w:t>
      </w:r>
    </w:p>
    <w:p w14:paraId="642441F1" w14:textId="77777777" w:rsidR="000948E7" w:rsidRPr="00E36734" w:rsidRDefault="000948E7" w:rsidP="000948E7">
      <w:pPr>
        <w:spacing w:after="0" w:line="360" w:lineRule="auto"/>
        <w:rPr>
          <w:rFonts w:ascii="Times New Roman" w:eastAsiaTheme="majorEastAsia" w:hAnsi="Times New Roman" w:cs="Times New Roman"/>
          <w:b/>
          <w:color w:val="000000" w:themeColor="text1"/>
          <w:sz w:val="24"/>
          <w:szCs w:val="24"/>
        </w:rPr>
      </w:pPr>
    </w:p>
    <w:p w14:paraId="70C33F2B" w14:textId="2FFB4CF7" w:rsidR="000948E7" w:rsidRPr="00E36734" w:rsidRDefault="00A9257F" w:rsidP="000948E7">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Γράφημα</w:t>
      </w:r>
      <w:r w:rsidR="00982B33" w:rsidRPr="00E36734">
        <w:rPr>
          <w:rFonts w:ascii="Times New Roman" w:hAnsi="Times New Roman" w:cs="Times New Roman"/>
          <w:b/>
          <w:sz w:val="24"/>
          <w:szCs w:val="24"/>
        </w:rPr>
        <w:t xml:space="preserve"> 11</w:t>
      </w:r>
    </w:p>
    <w:p w14:paraId="0D5B4D7C" w14:textId="08C8218F" w:rsidR="000948E7" w:rsidRPr="00E36734" w:rsidRDefault="000948E7" w:rsidP="000948E7">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Επενδύσεις - Αποτίμηση εξαμήνου</w:t>
      </w:r>
    </w:p>
    <w:p w14:paraId="02B84114" w14:textId="77777777" w:rsidR="00A9257F" w:rsidRPr="00E36734" w:rsidRDefault="000948E7" w:rsidP="000948E7">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Σύγκριση με προηγούμενες έρευνες</w:t>
      </w:r>
    </w:p>
    <w:p w14:paraId="71A54420" w14:textId="77777777" w:rsidR="00A9257F" w:rsidRPr="00E36734" w:rsidRDefault="000948E7" w:rsidP="000948E7">
      <w:pPr>
        <w:spacing w:after="0" w:line="360" w:lineRule="auto"/>
        <w:jc w:val="center"/>
        <w:rPr>
          <w:rFonts w:ascii="Times New Roman" w:hAnsi="Times New Roman" w:cs="Times New Roman"/>
          <w:b/>
          <w:sz w:val="24"/>
          <w:szCs w:val="24"/>
        </w:rPr>
      </w:pPr>
      <w:r w:rsidRPr="00E36734">
        <w:rPr>
          <w:rFonts w:ascii="Times New Roman" w:hAnsi="Times New Roman" w:cs="Times New Roman"/>
          <w:b/>
          <w:sz w:val="24"/>
          <w:szCs w:val="24"/>
        </w:rPr>
        <w:t>-όσοι έκαναν επενδύσεις-</w:t>
      </w:r>
    </w:p>
    <w:p w14:paraId="6C3371BE" w14:textId="77777777" w:rsidR="00A9257F" w:rsidRPr="00E36734" w:rsidRDefault="00A9257F" w:rsidP="00761263">
      <w:pPr>
        <w:spacing w:line="360" w:lineRule="auto"/>
        <w:jc w:val="both"/>
        <w:rPr>
          <w:rFonts w:ascii="Times New Roman" w:hAnsi="Times New Roman" w:cs="Times New Roman"/>
          <w:sz w:val="24"/>
          <w:szCs w:val="24"/>
        </w:rPr>
      </w:pPr>
      <w:r w:rsidRPr="00E36734">
        <w:rPr>
          <w:rFonts w:ascii="Times New Roman" w:hAnsi="Times New Roman" w:cs="Times New Roman"/>
          <w:noProof/>
          <w:sz w:val="24"/>
          <w:szCs w:val="24"/>
          <w:lang w:eastAsia="el-GR"/>
        </w:rPr>
        <w:drawing>
          <wp:inline distT="0" distB="0" distL="0" distR="0" wp14:anchorId="492B9D79" wp14:editId="3AD81189">
            <wp:extent cx="6457950" cy="2343150"/>
            <wp:effectExtent l="0" t="0" r="19050" b="19050"/>
            <wp:docPr id="12"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C9F6902" w14:textId="77777777" w:rsidR="00A9257F" w:rsidRPr="00E36734" w:rsidRDefault="00A9257F" w:rsidP="00DC1A1E">
      <w:pPr>
        <w:spacing w:after="0" w:line="360" w:lineRule="auto"/>
        <w:jc w:val="both"/>
        <w:rPr>
          <w:rFonts w:ascii="Times New Roman" w:eastAsia="Times New Roman" w:hAnsi="Times New Roman" w:cs="Times New Roman"/>
          <w:b/>
          <w:sz w:val="24"/>
          <w:szCs w:val="24"/>
          <w:u w:val="single"/>
          <w:lang w:eastAsia="el-GR"/>
        </w:rPr>
      </w:pPr>
    </w:p>
    <w:p w14:paraId="3E29F74E" w14:textId="0BB07C98" w:rsidR="00694711" w:rsidRPr="00E36734" w:rsidRDefault="00694711" w:rsidP="006D0D98">
      <w:pPr>
        <w:spacing w:after="0" w:line="360" w:lineRule="auto"/>
        <w:jc w:val="both"/>
        <w:rPr>
          <w:rFonts w:ascii="Times New Roman" w:eastAsia="Times New Roman" w:hAnsi="Times New Roman" w:cs="Times New Roman"/>
          <w:b/>
          <w:sz w:val="24"/>
          <w:szCs w:val="24"/>
          <w:u w:val="single"/>
          <w:lang w:eastAsia="el-GR"/>
        </w:rPr>
      </w:pPr>
      <w:r w:rsidRPr="00E36734">
        <w:rPr>
          <w:rFonts w:ascii="Times New Roman" w:eastAsia="Times New Roman" w:hAnsi="Times New Roman" w:cs="Times New Roman"/>
          <w:b/>
          <w:sz w:val="24"/>
          <w:szCs w:val="24"/>
          <w:u w:val="single"/>
          <w:lang w:eastAsia="el-GR"/>
        </w:rPr>
        <w:lastRenderedPageBreak/>
        <w:t>Απασχόληση</w:t>
      </w:r>
    </w:p>
    <w:p w14:paraId="5662987E" w14:textId="23EE59D8" w:rsidR="00D908C6" w:rsidRPr="00E36734" w:rsidRDefault="00547F34" w:rsidP="00D908C6">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Σ</w:t>
      </w:r>
      <w:r w:rsidR="000B2D69" w:rsidRPr="00E36734">
        <w:rPr>
          <w:rFonts w:ascii="Times New Roman" w:eastAsia="Times New Roman" w:hAnsi="Times New Roman" w:cs="Times New Roman"/>
          <w:bCs/>
          <w:sz w:val="24"/>
          <w:szCs w:val="24"/>
          <w:lang w:eastAsia="el-GR"/>
        </w:rPr>
        <w:t xml:space="preserve">την απασχόληση τα στοιχεία είναι καλύτερα σε σχέση με το Α εξάμηνο του 2020, με το ισοζύγιο ωστόσο να παραμένει αρνητικό. Το 6,2% των επιχειρήσεων δήλωσε πως αύξησε το προσωπικό του το Β εξάμηνο του 2020, </w:t>
      </w:r>
      <w:r w:rsidR="00F27C0E" w:rsidRPr="00E36734">
        <w:rPr>
          <w:rFonts w:ascii="Times New Roman" w:eastAsia="Times New Roman" w:hAnsi="Times New Roman" w:cs="Times New Roman"/>
          <w:bCs/>
          <w:sz w:val="24"/>
          <w:szCs w:val="24"/>
          <w:lang w:eastAsia="el-GR"/>
        </w:rPr>
        <w:t>έναντι</w:t>
      </w:r>
      <w:r w:rsidR="000B2D69" w:rsidRPr="00E36734">
        <w:rPr>
          <w:rFonts w:ascii="Times New Roman" w:eastAsia="Times New Roman" w:hAnsi="Times New Roman" w:cs="Times New Roman"/>
          <w:bCs/>
          <w:sz w:val="24"/>
          <w:szCs w:val="24"/>
          <w:lang w:eastAsia="el-GR"/>
        </w:rPr>
        <w:t xml:space="preserve"> του 9% που δήλωσε ότι το μείωσε και του 84,5% που το διατήρησε σταθερό. Από τα επιμέρους στοιχεία το εμπόριο παρουσιάζει θετικό ισοζύγιο</w:t>
      </w:r>
      <w:r w:rsidR="00F27C0E" w:rsidRPr="00E36734">
        <w:rPr>
          <w:rFonts w:ascii="Times New Roman" w:eastAsia="Times New Roman" w:hAnsi="Times New Roman" w:cs="Times New Roman"/>
          <w:bCs/>
          <w:sz w:val="24"/>
          <w:szCs w:val="24"/>
          <w:lang w:eastAsia="el-GR"/>
        </w:rPr>
        <w:t xml:space="preserve"> (8,1% αύξηση – 5,4% μείωση), έναντι του τομέα των υπηρεσιών (4,8% αύξηση -  11,2% μείωση) και της μεταποίησης (5,6% αύξηση – 10,8% μείωση)</w:t>
      </w:r>
      <w:r w:rsidR="00982B33" w:rsidRPr="00E36734">
        <w:rPr>
          <w:rFonts w:ascii="Times New Roman" w:eastAsia="Times New Roman" w:hAnsi="Times New Roman" w:cs="Times New Roman"/>
          <w:bCs/>
          <w:sz w:val="24"/>
          <w:szCs w:val="24"/>
          <w:lang w:eastAsia="el-GR"/>
        </w:rPr>
        <w:t xml:space="preserve"> (Γράφημα 12</w:t>
      </w:r>
      <w:r w:rsidR="00D908C6" w:rsidRPr="00E36734">
        <w:rPr>
          <w:rFonts w:ascii="Times New Roman" w:eastAsia="Times New Roman" w:hAnsi="Times New Roman" w:cs="Times New Roman"/>
          <w:bCs/>
          <w:sz w:val="24"/>
          <w:szCs w:val="24"/>
          <w:lang w:eastAsia="el-GR"/>
        </w:rPr>
        <w:t>)</w:t>
      </w:r>
      <w:r w:rsidR="00F27C0E" w:rsidRPr="00E36734">
        <w:rPr>
          <w:rFonts w:ascii="Times New Roman" w:eastAsia="Times New Roman" w:hAnsi="Times New Roman" w:cs="Times New Roman"/>
          <w:bCs/>
          <w:sz w:val="24"/>
          <w:szCs w:val="24"/>
          <w:lang w:eastAsia="el-GR"/>
        </w:rPr>
        <w:t xml:space="preserve">. </w:t>
      </w:r>
      <w:r w:rsidR="00D908C6" w:rsidRPr="00E36734">
        <w:rPr>
          <w:rFonts w:ascii="Times New Roman" w:eastAsia="Times New Roman" w:hAnsi="Times New Roman" w:cs="Times New Roman"/>
          <w:bCs/>
          <w:sz w:val="24"/>
          <w:szCs w:val="24"/>
          <w:lang w:eastAsia="el-GR"/>
        </w:rPr>
        <w:t>Τα ευρήματα αυτά συμβαδίζουν με εκείνα της ΕΛΣΤΑΤ</w:t>
      </w:r>
      <w:r w:rsidRPr="00E36734">
        <w:rPr>
          <w:rStyle w:val="ae"/>
          <w:rFonts w:ascii="Times New Roman" w:eastAsia="Times New Roman" w:hAnsi="Times New Roman" w:cs="Times New Roman"/>
          <w:bCs/>
          <w:sz w:val="24"/>
          <w:szCs w:val="24"/>
          <w:lang w:eastAsia="el-GR"/>
        </w:rPr>
        <w:footnoteReference w:id="3"/>
      </w:r>
      <w:r w:rsidR="00D908C6" w:rsidRPr="00E36734">
        <w:rPr>
          <w:rFonts w:ascii="Times New Roman" w:eastAsia="Times New Roman" w:hAnsi="Times New Roman" w:cs="Times New Roman"/>
          <w:bCs/>
          <w:sz w:val="24"/>
          <w:szCs w:val="24"/>
          <w:lang w:eastAsia="el-GR"/>
        </w:rPr>
        <w:t xml:space="preserve"> όπου φαίνεται ότι σε κλάδους του τομέα των υπηρεσιών και συγκεκριμένα στις δραστηριότητες παροχής υπηρεσιών καταλύματος και εστίασης το Δ τρίμηνο του 2020 οι θέσεις εργασίας μειώθηκαν κατά 43 περίπου χιλιάδες σε σχέση με το αντίστοιχο τρίμηνο του 2019. Αντίστοιχα στην μεταποίηση οι θέσεις εργασίας μειώθηκαν κατά περίπου 22 χιλιάδες ενώ από την άλλη μεριά στο χονδρικό και λιανικό εμπόριο αυξήθηκαν κατά 3,5 χιλιάδες. Όσον αφορά ειδικά </w:t>
      </w:r>
      <w:r w:rsidR="00E61F2C" w:rsidRPr="00E36734">
        <w:rPr>
          <w:rFonts w:ascii="Times New Roman" w:eastAsia="Times New Roman" w:hAnsi="Times New Roman" w:cs="Times New Roman"/>
          <w:bCs/>
          <w:sz w:val="24"/>
          <w:szCs w:val="24"/>
          <w:lang w:eastAsia="el-GR"/>
        </w:rPr>
        <w:t>σ</w:t>
      </w:r>
      <w:r w:rsidR="00D908C6" w:rsidRPr="00E36734">
        <w:rPr>
          <w:rFonts w:ascii="Times New Roman" w:eastAsia="Times New Roman" w:hAnsi="Times New Roman" w:cs="Times New Roman"/>
          <w:bCs/>
          <w:sz w:val="24"/>
          <w:szCs w:val="24"/>
          <w:lang w:eastAsia="el-GR"/>
        </w:rPr>
        <w:t>το κλάδο της εστίασης από τα στοιχεία της έρευνας προκύπτει ότι το 25% προχώρησε σε μείωση προσωπικού έναντι μόλις του 1,5% που έκανε προσλήψεις και του 72,1% που το διατήρησε σταθερό.</w:t>
      </w:r>
    </w:p>
    <w:p w14:paraId="1F810B71" w14:textId="77777777" w:rsidR="00D908C6" w:rsidRPr="00E36734" w:rsidRDefault="00D908C6" w:rsidP="00D908C6">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Πλέον αυτών από τα στοιχεία της έρευνας φαίνεται πως οι επιχειρήσεις που το ισοζύγιο προσλήψεων-αποχωρήσεων είναι θετικό συνδέεται με το ύψος κυρίως του κύκλου εργασιών. Συγκεκριμένα το 17,4% των επιχειρήσεων με ετήσιο τζίρο πάνω από 300.000€ προχώρησαν σε προσλήψεις έναντι του 7,9% που έκανε μειώσεις προσωπικού. </w:t>
      </w:r>
    </w:p>
    <w:p w14:paraId="48566F35" w14:textId="26307B83" w:rsidR="00D908C6" w:rsidRPr="00E36734" w:rsidRDefault="00D908C6" w:rsidP="00D908C6">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Τέλος, ένα σημαντικό ποσοστό της τάξης του 7,7% των επιχειρήσεων χωρίς </w:t>
      </w:r>
      <w:r w:rsidR="00E61F2C" w:rsidRPr="00E36734">
        <w:rPr>
          <w:rFonts w:ascii="Times New Roman" w:eastAsia="Times New Roman" w:hAnsi="Times New Roman" w:cs="Times New Roman"/>
          <w:bCs/>
          <w:sz w:val="24"/>
          <w:szCs w:val="24"/>
          <w:lang w:eastAsia="el-GR"/>
        </w:rPr>
        <w:t>προσωπικό</w:t>
      </w:r>
      <w:r w:rsidRPr="00E36734">
        <w:rPr>
          <w:rFonts w:ascii="Times New Roman" w:eastAsia="Times New Roman" w:hAnsi="Times New Roman" w:cs="Times New Roman"/>
          <w:bCs/>
          <w:sz w:val="24"/>
          <w:szCs w:val="24"/>
          <w:lang w:eastAsia="el-GR"/>
        </w:rPr>
        <w:t xml:space="preserve"> φαίνεται πως αποτελούν πρώην εργοδότες καθώς μείωσαν το προσωπικό τους το Β εξάμηνο του 2020. Τονίζεται πως επιχειρήσεις που απασχολούν εργαζομένους όταν αναγκάζονται να </w:t>
      </w:r>
      <w:r w:rsidR="00C83512" w:rsidRPr="00E36734">
        <w:rPr>
          <w:rFonts w:ascii="Times New Roman" w:eastAsia="Times New Roman" w:hAnsi="Times New Roman" w:cs="Times New Roman"/>
          <w:bCs/>
          <w:sz w:val="24"/>
          <w:szCs w:val="24"/>
          <w:lang w:eastAsia="el-GR"/>
        </w:rPr>
        <w:t>απωλέσουν</w:t>
      </w:r>
      <w:r w:rsidRPr="00E36734">
        <w:rPr>
          <w:rFonts w:ascii="Times New Roman" w:eastAsia="Times New Roman" w:hAnsi="Times New Roman" w:cs="Times New Roman"/>
          <w:bCs/>
          <w:sz w:val="24"/>
          <w:szCs w:val="24"/>
          <w:lang w:eastAsia="el-GR"/>
        </w:rPr>
        <w:t xml:space="preserve"> το σύνολο του προσωπικό</w:t>
      </w:r>
      <w:r w:rsidRPr="00E36734">
        <w:t xml:space="preserve"> </w:t>
      </w:r>
      <w:r w:rsidRPr="00E36734">
        <w:rPr>
          <w:rFonts w:ascii="Times New Roman" w:eastAsia="Times New Roman" w:hAnsi="Times New Roman" w:cs="Times New Roman"/>
          <w:bCs/>
          <w:sz w:val="24"/>
          <w:szCs w:val="24"/>
          <w:lang w:eastAsia="el-GR"/>
        </w:rPr>
        <w:t>τους συνήθως αντιμετωπίζουν πολύ σοβαρά προβλήματα βιωσιμότητας. Με άλλα λόγια βρίσκονται πολύ κοντά σε ένα ενδεχόμενο λουκέτο.</w:t>
      </w:r>
    </w:p>
    <w:p w14:paraId="4E9D99DF" w14:textId="77777777" w:rsidR="00E61F2C" w:rsidRPr="00E36734" w:rsidRDefault="00E61F2C" w:rsidP="000B2D6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Όσον αφορά τα μέτρα στήριξης της απασχόλησης που έλαβε η κυβέρνηση, </w:t>
      </w:r>
      <w:r w:rsidR="00694711" w:rsidRPr="00E36734">
        <w:rPr>
          <w:rFonts w:ascii="Times New Roman" w:eastAsia="Times New Roman" w:hAnsi="Times New Roman" w:cs="Times New Roman"/>
          <w:bCs/>
          <w:sz w:val="24"/>
          <w:szCs w:val="24"/>
          <w:lang w:eastAsia="el-GR"/>
        </w:rPr>
        <w:t xml:space="preserve">το </w:t>
      </w:r>
      <w:r w:rsidR="008E3E65" w:rsidRPr="00E36734">
        <w:rPr>
          <w:rFonts w:ascii="Times New Roman" w:eastAsia="Times New Roman" w:hAnsi="Times New Roman" w:cs="Times New Roman"/>
          <w:bCs/>
          <w:sz w:val="24"/>
          <w:szCs w:val="24"/>
          <w:lang w:eastAsia="el-GR"/>
        </w:rPr>
        <w:t xml:space="preserve">55,6% των επιχειρήσεων που απασχολούν προσωπικό έκαναν χρήση του μέτρου της αναστολής των συμβάσεων εργασίας, το 13,3% </w:t>
      </w:r>
      <w:r w:rsidR="00D908C6" w:rsidRPr="00E36734">
        <w:rPr>
          <w:rFonts w:ascii="Times New Roman" w:eastAsia="Times New Roman" w:hAnsi="Times New Roman" w:cs="Times New Roman"/>
          <w:bCs/>
          <w:sz w:val="24"/>
          <w:szCs w:val="24"/>
          <w:lang w:eastAsia="el-GR"/>
        </w:rPr>
        <w:t>αξιοποίησε</w:t>
      </w:r>
      <w:r w:rsidR="008E3E65" w:rsidRPr="00E36734">
        <w:rPr>
          <w:rFonts w:ascii="Times New Roman" w:eastAsia="Times New Roman" w:hAnsi="Times New Roman" w:cs="Times New Roman"/>
          <w:bCs/>
          <w:sz w:val="24"/>
          <w:szCs w:val="24"/>
          <w:lang w:eastAsia="el-GR"/>
        </w:rPr>
        <w:t xml:space="preserve"> το πρόγραμμα ΣΥΝ-ΕΡΓΑΣΙΑ, το 4,3% αξιοποίησε κάποιο από το προγράμματα</w:t>
      </w:r>
      <w:r w:rsidR="006D0D98" w:rsidRPr="00E36734">
        <w:rPr>
          <w:rFonts w:ascii="Times New Roman" w:eastAsia="Times New Roman" w:hAnsi="Times New Roman" w:cs="Times New Roman"/>
          <w:bCs/>
          <w:sz w:val="24"/>
          <w:szCs w:val="24"/>
          <w:lang w:eastAsia="el-GR"/>
        </w:rPr>
        <w:t xml:space="preserve"> δημιουργίας νέων θέσεων εργασίας</w:t>
      </w:r>
      <w:r w:rsidR="008E3E65" w:rsidRPr="00E36734">
        <w:rPr>
          <w:rFonts w:ascii="Times New Roman" w:eastAsia="Times New Roman" w:hAnsi="Times New Roman" w:cs="Times New Roman"/>
          <w:bCs/>
          <w:sz w:val="24"/>
          <w:szCs w:val="24"/>
          <w:lang w:eastAsia="el-GR"/>
        </w:rPr>
        <w:t xml:space="preserve"> του ΟΕΑΔ και το 3%</w:t>
      </w:r>
      <w:r w:rsidR="006D0D98" w:rsidRPr="00E36734">
        <w:rPr>
          <w:rFonts w:ascii="Times New Roman" w:eastAsia="Times New Roman" w:hAnsi="Times New Roman" w:cs="Times New Roman"/>
          <w:bCs/>
          <w:sz w:val="24"/>
          <w:szCs w:val="24"/>
          <w:lang w:eastAsia="el-GR"/>
        </w:rPr>
        <w:t xml:space="preserve"> έκανε χρήση</w:t>
      </w:r>
      <w:r w:rsidR="008E3E65" w:rsidRPr="00E36734">
        <w:rPr>
          <w:rFonts w:ascii="Times New Roman" w:eastAsia="Times New Roman" w:hAnsi="Times New Roman" w:cs="Times New Roman"/>
          <w:bCs/>
          <w:sz w:val="24"/>
          <w:szCs w:val="24"/>
          <w:lang w:eastAsia="el-GR"/>
        </w:rPr>
        <w:t xml:space="preserve"> του προγράμματος δημιουργίας 100.000</w:t>
      </w:r>
      <w:r w:rsidR="006D0D98" w:rsidRPr="00E36734">
        <w:rPr>
          <w:rFonts w:ascii="Times New Roman" w:eastAsia="Times New Roman" w:hAnsi="Times New Roman" w:cs="Times New Roman"/>
          <w:bCs/>
          <w:sz w:val="24"/>
          <w:szCs w:val="24"/>
          <w:lang w:eastAsia="el-GR"/>
        </w:rPr>
        <w:t xml:space="preserve"> νέων</w:t>
      </w:r>
      <w:r w:rsidR="008E3E65" w:rsidRPr="00E36734">
        <w:rPr>
          <w:rFonts w:ascii="Times New Roman" w:eastAsia="Times New Roman" w:hAnsi="Times New Roman" w:cs="Times New Roman"/>
          <w:bCs/>
          <w:sz w:val="24"/>
          <w:szCs w:val="24"/>
          <w:lang w:eastAsia="el-GR"/>
        </w:rPr>
        <w:t xml:space="preserve"> θέσεων εργασίας. </w:t>
      </w:r>
      <w:r w:rsidR="00985484" w:rsidRPr="00E36734">
        <w:rPr>
          <w:rFonts w:ascii="Times New Roman" w:eastAsia="Times New Roman" w:hAnsi="Times New Roman" w:cs="Times New Roman"/>
          <w:bCs/>
          <w:sz w:val="24"/>
          <w:szCs w:val="24"/>
          <w:lang w:eastAsia="el-GR"/>
        </w:rPr>
        <w:t>Στα επιμέρους στοιχεία το 75,8% των επιχειρήσεων που ανέστειλαν την λειτουργία τους με κρατική εντολή έκαναν χρήση της αναστολής συμβάσεων εργασίας και αντίστοιχα το 58,6% των πληττόμενων βάσει ΚΑΔ επιχειρήσεων. Την αναστολή συμβάσεων εργασίας αξιοποίησε και το 77,6% των επιχειρήσεων εστίασης.</w:t>
      </w:r>
      <w:r w:rsidRPr="00E36734">
        <w:rPr>
          <w:rFonts w:ascii="Times New Roman" w:eastAsia="Times New Roman" w:hAnsi="Times New Roman" w:cs="Times New Roman"/>
          <w:bCs/>
          <w:sz w:val="24"/>
          <w:szCs w:val="24"/>
          <w:lang w:eastAsia="el-GR"/>
        </w:rPr>
        <w:t xml:space="preserve"> </w:t>
      </w:r>
    </w:p>
    <w:p w14:paraId="0D59CDAD" w14:textId="73199EA0" w:rsidR="00D908C6" w:rsidRPr="00E36734" w:rsidRDefault="0040254E" w:rsidP="000B2D6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lastRenderedPageBreak/>
        <w:t xml:space="preserve">Από τα παραπάνω φαίνεται πως έχει γίνει </w:t>
      </w:r>
      <w:r w:rsidR="00E61F2C" w:rsidRPr="00E36734">
        <w:rPr>
          <w:rFonts w:ascii="Times New Roman" w:eastAsia="Times New Roman" w:hAnsi="Times New Roman" w:cs="Times New Roman"/>
          <w:bCs/>
          <w:sz w:val="24"/>
          <w:szCs w:val="24"/>
          <w:lang w:eastAsia="el-GR"/>
        </w:rPr>
        <w:t xml:space="preserve">ευρεία </w:t>
      </w:r>
      <w:r w:rsidRPr="00E36734">
        <w:rPr>
          <w:rFonts w:ascii="Times New Roman" w:eastAsia="Times New Roman" w:hAnsi="Times New Roman" w:cs="Times New Roman"/>
          <w:bCs/>
          <w:sz w:val="24"/>
          <w:szCs w:val="24"/>
          <w:lang w:eastAsia="el-GR"/>
        </w:rPr>
        <w:t>αξιοποίηση</w:t>
      </w:r>
      <w:r w:rsidR="00E61F2C" w:rsidRPr="00E36734">
        <w:rPr>
          <w:rFonts w:ascii="Times New Roman" w:eastAsia="Times New Roman" w:hAnsi="Times New Roman" w:cs="Times New Roman"/>
          <w:bCs/>
          <w:sz w:val="24"/>
          <w:szCs w:val="24"/>
          <w:lang w:eastAsia="el-GR"/>
        </w:rPr>
        <w:t xml:space="preserve"> των μέτρων που έλαβε η κυβέρνηση για την συγκράτηση της απασχόλησης</w:t>
      </w:r>
      <w:r w:rsidRPr="00E36734">
        <w:rPr>
          <w:rFonts w:ascii="Times New Roman" w:eastAsia="Times New Roman" w:hAnsi="Times New Roman" w:cs="Times New Roman"/>
          <w:bCs/>
          <w:sz w:val="24"/>
          <w:szCs w:val="24"/>
          <w:lang w:eastAsia="el-GR"/>
        </w:rPr>
        <w:t xml:space="preserve"> και ως εκ τούτου φαίνεται ότι τα μέτρα αυτά έχουν πετύχει τον βασικό τους σκοπό για το 2020.</w:t>
      </w:r>
      <w:r w:rsidR="00E61F2C" w:rsidRPr="00E36734">
        <w:rPr>
          <w:rFonts w:ascii="Times New Roman" w:eastAsia="Times New Roman" w:hAnsi="Times New Roman" w:cs="Times New Roman"/>
          <w:bCs/>
          <w:sz w:val="24"/>
          <w:szCs w:val="24"/>
          <w:lang w:eastAsia="el-GR"/>
        </w:rPr>
        <w:t xml:space="preserve"> </w:t>
      </w:r>
    </w:p>
    <w:p w14:paraId="7645ED3B" w14:textId="2387BFCD" w:rsidR="00F27C0E" w:rsidRPr="00E36734" w:rsidRDefault="00982B33" w:rsidP="006D0D98">
      <w:pPr>
        <w:spacing w:after="0" w:line="360" w:lineRule="auto"/>
        <w:jc w:val="center"/>
        <w:rPr>
          <w:rFonts w:ascii="Times New Roman" w:eastAsia="Times New Roman" w:hAnsi="Times New Roman" w:cs="Times New Roman"/>
          <w:b/>
          <w:sz w:val="24"/>
          <w:szCs w:val="24"/>
          <w:lang w:val="en-US" w:eastAsia="el-GR"/>
        </w:rPr>
      </w:pPr>
      <w:r w:rsidRPr="00E36734">
        <w:rPr>
          <w:rFonts w:ascii="Times New Roman" w:eastAsia="Times New Roman" w:hAnsi="Times New Roman" w:cs="Times New Roman"/>
          <w:b/>
          <w:sz w:val="24"/>
          <w:szCs w:val="24"/>
          <w:lang w:eastAsia="el-GR"/>
        </w:rPr>
        <w:t>Γράφημα 1</w:t>
      </w:r>
      <w:r w:rsidRPr="00E36734">
        <w:rPr>
          <w:rFonts w:ascii="Times New Roman" w:eastAsia="Times New Roman" w:hAnsi="Times New Roman" w:cs="Times New Roman"/>
          <w:b/>
          <w:sz w:val="24"/>
          <w:szCs w:val="24"/>
          <w:lang w:val="en-US" w:eastAsia="el-GR"/>
        </w:rPr>
        <w:t>2</w:t>
      </w:r>
    </w:p>
    <w:p w14:paraId="3DF4DAE6" w14:textId="2BB267D4" w:rsidR="00F27C0E" w:rsidRPr="00E36734" w:rsidRDefault="00F27C0E" w:rsidP="00F27C0E">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ΑΠΑΣΧΟΛΗΣΗ </w:t>
      </w:r>
      <w:r w:rsidRPr="00E36734">
        <w:rPr>
          <w:rFonts w:ascii="Times New Roman" w:eastAsia="Times New Roman" w:hAnsi="Times New Roman" w:cs="Times New Roman"/>
          <w:b/>
          <w:sz w:val="24"/>
          <w:szCs w:val="24"/>
          <w:lang w:eastAsia="el-GR"/>
        </w:rPr>
        <w:br/>
        <w:t xml:space="preserve"> - Ανά κατηγορία -</w:t>
      </w:r>
    </w:p>
    <w:p w14:paraId="0E9DECBC" w14:textId="2D2FA0A3" w:rsidR="00F27C0E" w:rsidRPr="00E36734" w:rsidRDefault="00F27C0E" w:rsidP="000B2D6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noProof/>
          <w:sz w:val="24"/>
          <w:szCs w:val="24"/>
          <w:lang w:eastAsia="el-GR"/>
        </w:rPr>
        <w:drawing>
          <wp:inline distT="0" distB="0" distL="0" distR="0" wp14:anchorId="17326868" wp14:editId="1E0F2C9E">
            <wp:extent cx="6570980" cy="3547110"/>
            <wp:effectExtent l="0" t="0" r="1270" b="1524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EB66F4" w14:textId="7CD97C99" w:rsidR="00821B05" w:rsidRPr="00E36734" w:rsidRDefault="00821B05" w:rsidP="00821B05">
      <w:pPr>
        <w:spacing w:after="0" w:line="360" w:lineRule="auto"/>
        <w:jc w:val="both"/>
        <w:rPr>
          <w:rFonts w:ascii="Times New Roman" w:eastAsia="Times New Roman" w:hAnsi="Times New Roman" w:cs="Times New Roman"/>
          <w:b/>
          <w:sz w:val="24"/>
          <w:szCs w:val="24"/>
          <w:u w:val="single"/>
          <w:lang w:eastAsia="el-GR"/>
        </w:rPr>
      </w:pPr>
    </w:p>
    <w:p w14:paraId="475014C2" w14:textId="77777777" w:rsidR="00C05413" w:rsidRPr="00E36734" w:rsidRDefault="00C05413" w:rsidP="00821B05">
      <w:pPr>
        <w:spacing w:after="0" w:line="360" w:lineRule="auto"/>
        <w:jc w:val="both"/>
        <w:rPr>
          <w:rFonts w:ascii="Times New Roman" w:eastAsia="Times New Roman" w:hAnsi="Times New Roman" w:cs="Times New Roman"/>
          <w:b/>
          <w:sz w:val="24"/>
          <w:szCs w:val="24"/>
          <w:u w:val="single"/>
          <w:lang w:eastAsia="el-GR"/>
        </w:rPr>
      </w:pPr>
    </w:p>
    <w:p w14:paraId="77FA658B" w14:textId="0B82B456" w:rsidR="00A9257F" w:rsidRPr="00E36734" w:rsidRDefault="00A9257F" w:rsidP="00761263">
      <w:pPr>
        <w:pStyle w:val="a5"/>
        <w:numPr>
          <w:ilvl w:val="0"/>
          <w:numId w:val="1"/>
        </w:numPr>
        <w:spacing w:after="0" w:line="360" w:lineRule="auto"/>
        <w:jc w:val="both"/>
        <w:rPr>
          <w:rFonts w:ascii="Times New Roman" w:eastAsia="Times New Roman" w:hAnsi="Times New Roman" w:cs="Times New Roman"/>
          <w:b/>
          <w:sz w:val="24"/>
          <w:szCs w:val="24"/>
          <w:u w:val="single"/>
          <w:lang w:eastAsia="el-GR"/>
        </w:rPr>
      </w:pPr>
      <w:r w:rsidRPr="00E36734">
        <w:rPr>
          <w:rFonts w:ascii="Times New Roman" w:eastAsia="Times New Roman" w:hAnsi="Times New Roman" w:cs="Times New Roman"/>
          <w:b/>
          <w:sz w:val="24"/>
          <w:szCs w:val="24"/>
          <w:u w:val="single"/>
          <w:lang w:eastAsia="el-GR"/>
        </w:rPr>
        <w:t xml:space="preserve">ΠΡΟΒΛΕΨΕΙΣ ΓΙΑ ΤΟ </w:t>
      </w:r>
      <w:r w:rsidR="00C05413" w:rsidRPr="00E36734">
        <w:rPr>
          <w:rFonts w:ascii="Times New Roman" w:eastAsia="Times New Roman" w:hAnsi="Times New Roman" w:cs="Times New Roman"/>
          <w:b/>
          <w:sz w:val="24"/>
          <w:szCs w:val="24"/>
          <w:u w:val="single"/>
          <w:lang w:eastAsia="el-GR"/>
        </w:rPr>
        <w:t>Α</w:t>
      </w:r>
      <w:r w:rsidRPr="00E36734">
        <w:rPr>
          <w:rFonts w:ascii="Times New Roman" w:eastAsia="Times New Roman" w:hAnsi="Times New Roman" w:cs="Times New Roman"/>
          <w:b/>
          <w:sz w:val="24"/>
          <w:szCs w:val="24"/>
          <w:u w:val="single"/>
          <w:lang w:eastAsia="el-GR"/>
        </w:rPr>
        <w:t xml:space="preserve"> ΕΞΑΜΗΝΟ 202</w:t>
      </w:r>
      <w:r w:rsidR="00C05413" w:rsidRPr="00E36734">
        <w:rPr>
          <w:rFonts w:ascii="Times New Roman" w:eastAsia="Times New Roman" w:hAnsi="Times New Roman" w:cs="Times New Roman"/>
          <w:b/>
          <w:sz w:val="24"/>
          <w:szCs w:val="24"/>
          <w:u w:val="single"/>
          <w:lang w:eastAsia="el-GR"/>
        </w:rPr>
        <w:t>1</w:t>
      </w:r>
    </w:p>
    <w:p w14:paraId="5C167058" w14:textId="510757B7" w:rsidR="000948E7" w:rsidRPr="00E36734" w:rsidRDefault="00C05413"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Οι προσδοκίες για το Α εξάμηνο του 2021 παραμένουν</w:t>
      </w:r>
      <w:r w:rsidR="00411D45" w:rsidRPr="00E36734">
        <w:rPr>
          <w:rFonts w:ascii="Times New Roman" w:eastAsia="Times New Roman" w:hAnsi="Times New Roman" w:cs="Times New Roman"/>
          <w:sz w:val="24"/>
          <w:szCs w:val="24"/>
          <w:lang w:eastAsia="el-GR"/>
        </w:rPr>
        <w:t xml:space="preserve"> για την πλειοψηφία των μικρών και πολύ μικρών επιχειρήσεων</w:t>
      </w:r>
      <w:r w:rsidRPr="00E36734">
        <w:rPr>
          <w:rFonts w:ascii="Times New Roman" w:eastAsia="Times New Roman" w:hAnsi="Times New Roman" w:cs="Times New Roman"/>
          <w:sz w:val="24"/>
          <w:szCs w:val="24"/>
          <w:lang w:eastAsia="el-GR"/>
        </w:rPr>
        <w:t xml:space="preserve"> απαισιόδοξες σε όλους τα βασικούς οικονομικούς δείκτες με εξαίρεση την απασχόληση.</w:t>
      </w:r>
      <w:r w:rsidR="00411D45" w:rsidRPr="00E36734">
        <w:rPr>
          <w:rFonts w:ascii="Times New Roman" w:eastAsia="Times New Roman" w:hAnsi="Times New Roman" w:cs="Times New Roman"/>
          <w:sz w:val="24"/>
          <w:szCs w:val="24"/>
          <w:lang w:eastAsia="el-GR"/>
        </w:rPr>
        <w:t xml:space="preserve"> Μάλιστα σε σύγκριση με τις προσδοκίες της προηγούμενης εξαμηνιαίας έρευνας του ΙΜΕ ΓΣΕΒΕΕ φαίνεται πως υπάρχει μια αύξηση του ποσοστού των επιχειρήσεων που περιμένουν περαιτέρω επιδείνωση περίπου 5 μονάδων.</w:t>
      </w:r>
    </w:p>
    <w:p w14:paraId="2F788E75" w14:textId="228CB448" w:rsidR="00A77A8A" w:rsidRPr="00E36734" w:rsidRDefault="00411D45"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Ειδικότερα το </w:t>
      </w:r>
      <w:r w:rsidR="00A77A8A" w:rsidRPr="00E36734">
        <w:rPr>
          <w:rFonts w:ascii="Times New Roman" w:eastAsia="Times New Roman" w:hAnsi="Times New Roman" w:cs="Times New Roman"/>
          <w:sz w:val="24"/>
          <w:szCs w:val="24"/>
          <w:lang w:eastAsia="el-GR"/>
        </w:rPr>
        <w:t>53,6% των επιχειρήσεων περιμένει μείωση του κύκλου εργασιών, το 52,8% μείωση της ζήτησης, το 54,6% μείωση των παραγγελιών, το 56,7</w:t>
      </w:r>
      <w:r w:rsidR="000D303E" w:rsidRPr="00E36734">
        <w:rPr>
          <w:rFonts w:ascii="Times New Roman" w:eastAsia="Times New Roman" w:hAnsi="Times New Roman" w:cs="Times New Roman"/>
          <w:sz w:val="24"/>
          <w:szCs w:val="24"/>
          <w:lang w:eastAsia="el-GR"/>
        </w:rPr>
        <w:t>%</w:t>
      </w:r>
      <w:r w:rsidR="00A77A8A" w:rsidRPr="00E36734">
        <w:rPr>
          <w:rFonts w:ascii="Times New Roman" w:eastAsia="Times New Roman" w:hAnsi="Times New Roman" w:cs="Times New Roman"/>
          <w:sz w:val="24"/>
          <w:szCs w:val="24"/>
          <w:lang w:eastAsia="el-GR"/>
        </w:rPr>
        <w:t xml:space="preserve"> μείωση της ρευστότητα</w:t>
      </w:r>
      <w:r w:rsidR="000D303E" w:rsidRPr="00E36734">
        <w:rPr>
          <w:rFonts w:ascii="Times New Roman" w:eastAsia="Times New Roman" w:hAnsi="Times New Roman" w:cs="Times New Roman"/>
          <w:sz w:val="24"/>
          <w:szCs w:val="24"/>
          <w:lang w:eastAsia="el-GR"/>
        </w:rPr>
        <w:t>ς</w:t>
      </w:r>
      <w:r w:rsidR="00A77A8A" w:rsidRPr="00E36734">
        <w:rPr>
          <w:rFonts w:ascii="Times New Roman" w:eastAsia="Times New Roman" w:hAnsi="Times New Roman" w:cs="Times New Roman"/>
          <w:sz w:val="24"/>
          <w:szCs w:val="24"/>
          <w:lang w:eastAsia="el-GR"/>
        </w:rPr>
        <w:t>, ενώ μόλις το 6% των επιχειρήσεων προτίθεται να κάνει κάποιου είδους επένδυση</w:t>
      </w:r>
      <w:r w:rsidR="00982B33" w:rsidRPr="00E36734">
        <w:rPr>
          <w:rFonts w:ascii="Times New Roman" w:eastAsia="Times New Roman" w:hAnsi="Times New Roman" w:cs="Times New Roman"/>
          <w:sz w:val="24"/>
          <w:szCs w:val="24"/>
          <w:lang w:eastAsia="el-GR"/>
        </w:rPr>
        <w:t xml:space="preserve"> (Γράφημα 13</w:t>
      </w:r>
      <w:r w:rsidR="000D303E" w:rsidRPr="00E36734">
        <w:rPr>
          <w:rFonts w:ascii="Times New Roman" w:eastAsia="Times New Roman" w:hAnsi="Times New Roman" w:cs="Times New Roman"/>
          <w:sz w:val="24"/>
          <w:szCs w:val="24"/>
          <w:lang w:eastAsia="el-GR"/>
        </w:rPr>
        <w:t>)</w:t>
      </w:r>
      <w:r w:rsidR="00A77A8A" w:rsidRPr="00E36734">
        <w:rPr>
          <w:rFonts w:ascii="Times New Roman" w:eastAsia="Times New Roman" w:hAnsi="Times New Roman" w:cs="Times New Roman"/>
          <w:sz w:val="24"/>
          <w:szCs w:val="24"/>
          <w:lang w:eastAsia="el-GR"/>
        </w:rPr>
        <w:t>. Περισσότερο απαισιόδοξες είναι οι επιχειρήσεις με ετήσιο τζίρο κάτω από 50.000€, οι επιχειρήσεις που έχουν αναστείλει τη λειτουργία τους με κρατική εντολή και οι επιχειρήσεις εστίασης. Για τις προαναφερόμενες επιχειρήσεις τα ποσοστά απαισιοδοξίας κυμαίνονται μεταξύ 60 και 65 ποσοστιαί</w:t>
      </w:r>
      <w:r w:rsidR="000D303E" w:rsidRPr="00E36734">
        <w:rPr>
          <w:rFonts w:ascii="Times New Roman" w:eastAsia="Times New Roman" w:hAnsi="Times New Roman" w:cs="Times New Roman"/>
          <w:sz w:val="24"/>
          <w:szCs w:val="24"/>
          <w:lang w:eastAsia="el-GR"/>
        </w:rPr>
        <w:t>ων</w:t>
      </w:r>
      <w:r w:rsidR="00A77A8A" w:rsidRPr="00E36734">
        <w:rPr>
          <w:rFonts w:ascii="Times New Roman" w:eastAsia="Times New Roman" w:hAnsi="Times New Roman" w:cs="Times New Roman"/>
          <w:sz w:val="24"/>
          <w:szCs w:val="24"/>
          <w:lang w:eastAsia="el-GR"/>
        </w:rPr>
        <w:t xml:space="preserve"> μονάδ</w:t>
      </w:r>
      <w:r w:rsidR="000D303E" w:rsidRPr="00E36734">
        <w:rPr>
          <w:rFonts w:ascii="Times New Roman" w:eastAsia="Times New Roman" w:hAnsi="Times New Roman" w:cs="Times New Roman"/>
          <w:sz w:val="24"/>
          <w:szCs w:val="24"/>
          <w:lang w:eastAsia="el-GR"/>
        </w:rPr>
        <w:t>ων</w:t>
      </w:r>
      <w:r w:rsidR="00A77A8A" w:rsidRPr="00E36734">
        <w:rPr>
          <w:rFonts w:ascii="Times New Roman" w:eastAsia="Times New Roman" w:hAnsi="Times New Roman" w:cs="Times New Roman"/>
          <w:sz w:val="24"/>
          <w:szCs w:val="24"/>
          <w:lang w:eastAsia="el-GR"/>
        </w:rPr>
        <w:t xml:space="preserve"> με τον δείκτη ρευστότητας </w:t>
      </w:r>
      <w:r w:rsidR="00A77A8A" w:rsidRPr="00E36734">
        <w:rPr>
          <w:rFonts w:ascii="Times New Roman" w:eastAsia="Times New Roman" w:hAnsi="Times New Roman" w:cs="Times New Roman"/>
          <w:sz w:val="24"/>
          <w:szCs w:val="24"/>
          <w:lang w:eastAsia="el-GR"/>
        </w:rPr>
        <w:lastRenderedPageBreak/>
        <w:t>να καταγράφει τα υψηλοτέρα</w:t>
      </w:r>
      <w:r w:rsidR="0040254E" w:rsidRPr="00E36734">
        <w:rPr>
          <w:rFonts w:ascii="Times New Roman" w:eastAsia="Times New Roman" w:hAnsi="Times New Roman" w:cs="Times New Roman"/>
          <w:sz w:val="24"/>
          <w:szCs w:val="24"/>
          <w:lang w:eastAsia="el-GR"/>
        </w:rPr>
        <w:t xml:space="preserve"> ποσοστά</w:t>
      </w:r>
      <w:r w:rsidR="00A77A8A" w:rsidRPr="00E36734">
        <w:rPr>
          <w:rFonts w:ascii="Times New Roman" w:eastAsia="Times New Roman" w:hAnsi="Times New Roman" w:cs="Times New Roman"/>
          <w:sz w:val="24"/>
          <w:szCs w:val="24"/>
          <w:lang w:eastAsia="el-GR"/>
        </w:rPr>
        <w:t>. Η απαισιοδ</w:t>
      </w:r>
      <w:r w:rsidR="004A1D99" w:rsidRPr="00E36734">
        <w:rPr>
          <w:rFonts w:ascii="Times New Roman" w:eastAsia="Times New Roman" w:hAnsi="Times New Roman" w:cs="Times New Roman"/>
          <w:sz w:val="24"/>
          <w:szCs w:val="24"/>
          <w:lang w:eastAsia="el-GR"/>
        </w:rPr>
        <w:t xml:space="preserve">οξία μάλιστα που καταγράφεται στις προσδοκίες των μικρών και πολύ μικρών επιχειρήσεων φαίνεται πως δεν περιορίζεται μόνο </w:t>
      </w:r>
      <w:r w:rsidR="000D303E" w:rsidRPr="00E36734">
        <w:rPr>
          <w:rFonts w:ascii="Times New Roman" w:eastAsia="Times New Roman" w:hAnsi="Times New Roman" w:cs="Times New Roman"/>
          <w:sz w:val="24"/>
          <w:szCs w:val="24"/>
          <w:lang w:eastAsia="el-GR"/>
        </w:rPr>
        <w:t xml:space="preserve">στο </w:t>
      </w:r>
      <w:r w:rsidR="004A1D99" w:rsidRPr="00E36734">
        <w:rPr>
          <w:rFonts w:ascii="Times New Roman" w:eastAsia="Times New Roman" w:hAnsi="Times New Roman" w:cs="Times New Roman"/>
          <w:sz w:val="24"/>
          <w:szCs w:val="24"/>
          <w:lang w:eastAsia="el-GR"/>
        </w:rPr>
        <w:t xml:space="preserve">τρέχον εξάμηνο. </w:t>
      </w:r>
      <w:bookmarkStart w:id="19" w:name="_Hlk68246490"/>
      <w:r w:rsidR="004A1D99" w:rsidRPr="00E36734">
        <w:rPr>
          <w:rFonts w:ascii="Times New Roman" w:eastAsia="Times New Roman" w:hAnsi="Times New Roman" w:cs="Times New Roman"/>
          <w:sz w:val="24"/>
          <w:szCs w:val="24"/>
          <w:lang w:eastAsia="el-GR"/>
        </w:rPr>
        <w:t xml:space="preserve">Το 63,1% των επιχειρήσεων θεωρεί πως η οικονομική κρίση που έχει προκαλέσει η πανδημία θα διαρκέσει για τουλάχιστον 2 χρόνια με τους </w:t>
      </w:r>
      <w:r w:rsidR="00436AF7" w:rsidRPr="00E36734">
        <w:rPr>
          <w:rFonts w:ascii="Times New Roman" w:eastAsia="Times New Roman" w:hAnsi="Times New Roman" w:cs="Times New Roman"/>
          <w:sz w:val="24"/>
          <w:szCs w:val="24"/>
          <w:lang w:eastAsia="el-GR"/>
        </w:rPr>
        <w:t>επιχειρηματίες</w:t>
      </w:r>
      <w:r w:rsidR="004A1D99" w:rsidRPr="00E36734">
        <w:rPr>
          <w:rFonts w:ascii="Times New Roman" w:eastAsia="Times New Roman" w:hAnsi="Times New Roman" w:cs="Times New Roman"/>
          <w:sz w:val="24"/>
          <w:szCs w:val="24"/>
          <w:lang w:eastAsia="el-GR"/>
        </w:rPr>
        <w:t xml:space="preserve"> της εστίασης να </w:t>
      </w:r>
      <w:r w:rsidR="00436AF7" w:rsidRPr="00E36734">
        <w:rPr>
          <w:rFonts w:ascii="Times New Roman" w:eastAsia="Times New Roman" w:hAnsi="Times New Roman" w:cs="Times New Roman"/>
          <w:sz w:val="24"/>
          <w:szCs w:val="24"/>
          <w:lang w:eastAsia="el-GR"/>
        </w:rPr>
        <w:t>καταγράφουν το μεγαλύτερο ποσοστό</w:t>
      </w:r>
      <w:r w:rsidR="004A1D99" w:rsidRPr="00E36734">
        <w:rPr>
          <w:rFonts w:ascii="Times New Roman" w:eastAsia="Times New Roman" w:hAnsi="Times New Roman" w:cs="Times New Roman"/>
          <w:sz w:val="24"/>
          <w:szCs w:val="24"/>
          <w:lang w:eastAsia="el-GR"/>
        </w:rPr>
        <w:t xml:space="preserve"> </w:t>
      </w:r>
      <w:bookmarkEnd w:id="19"/>
      <w:r w:rsidR="004A1D99" w:rsidRPr="00E36734">
        <w:rPr>
          <w:rFonts w:ascii="Times New Roman" w:eastAsia="Times New Roman" w:hAnsi="Times New Roman" w:cs="Times New Roman"/>
          <w:sz w:val="24"/>
          <w:szCs w:val="24"/>
          <w:lang w:eastAsia="el-GR"/>
        </w:rPr>
        <w:t xml:space="preserve">(72%). Η απαισιόδοξη αυτή προοπτική που σε σημαντικό βαθμό θα επηρεάσει και τις όποιες επιχειρηματικές αποφάσεις </w:t>
      </w:r>
      <w:r w:rsidR="009916D3" w:rsidRPr="00E36734">
        <w:rPr>
          <w:rFonts w:ascii="Times New Roman" w:eastAsia="Times New Roman" w:hAnsi="Times New Roman" w:cs="Times New Roman"/>
          <w:sz w:val="24"/>
          <w:szCs w:val="24"/>
          <w:lang w:eastAsia="el-GR"/>
        </w:rPr>
        <w:t>πιθανότατα σχετίζεται και με</w:t>
      </w:r>
      <w:r w:rsidR="004A1D99" w:rsidRPr="00E36734">
        <w:rPr>
          <w:rFonts w:ascii="Times New Roman" w:eastAsia="Times New Roman" w:hAnsi="Times New Roman" w:cs="Times New Roman"/>
          <w:sz w:val="24"/>
          <w:szCs w:val="24"/>
          <w:lang w:eastAsia="el-GR"/>
        </w:rPr>
        <w:t xml:space="preserve"> το </w:t>
      </w:r>
      <w:r w:rsidR="000D303E" w:rsidRPr="00E36734">
        <w:rPr>
          <w:rFonts w:ascii="Times New Roman" w:eastAsia="Times New Roman" w:hAnsi="Times New Roman" w:cs="Times New Roman"/>
          <w:sz w:val="24"/>
          <w:szCs w:val="24"/>
          <w:lang w:eastAsia="el-GR"/>
        </w:rPr>
        <w:t xml:space="preserve">αρκετά </w:t>
      </w:r>
      <w:r w:rsidR="004A1D99" w:rsidRPr="00E36734">
        <w:rPr>
          <w:rFonts w:ascii="Times New Roman" w:eastAsia="Times New Roman" w:hAnsi="Times New Roman" w:cs="Times New Roman"/>
          <w:sz w:val="24"/>
          <w:szCs w:val="24"/>
          <w:lang w:eastAsia="el-GR"/>
        </w:rPr>
        <w:t xml:space="preserve">υψηλό ποσοστό των επιχειρηματιών που δηλώνουν διατεθειμένοι να κάνουν το εμβόλιο για τον </w:t>
      </w:r>
      <w:r w:rsidR="004A1D99" w:rsidRPr="00E36734">
        <w:rPr>
          <w:rFonts w:ascii="Times New Roman" w:eastAsia="Times New Roman" w:hAnsi="Times New Roman" w:cs="Times New Roman"/>
          <w:sz w:val="24"/>
          <w:szCs w:val="24"/>
          <w:lang w:val="en-US" w:eastAsia="el-GR"/>
        </w:rPr>
        <w:t>Covid</w:t>
      </w:r>
      <w:r w:rsidR="004A1D99" w:rsidRPr="00E36734">
        <w:rPr>
          <w:rFonts w:ascii="Times New Roman" w:eastAsia="Times New Roman" w:hAnsi="Times New Roman" w:cs="Times New Roman"/>
          <w:sz w:val="24"/>
          <w:szCs w:val="24"/>
          <w:lang w:eastAsia="el-GR"/>
        </w:rPr>
        <w:t xml:space="preserve">-19. </w:t>
      </w:r>
      <w:r w:rsidR="009916D3" w:rsidRPr="00E36734">
        <w:rPr>
          <w:rFonts w:ascii="Times New Roman" w:eastAsia="Times New Roman" w:hAnsi="Times New Roman" w:cs="Times New Roman"/>
          <w:sz w:val="24"/>
          <w:szCs w:val="24"/>
          <w:lang w:eastAsia="el-GR"/>
        </w:rPr>
        <w:t xml:space="preserve">Κάτι που δείχνει πως εκτός από την προστασία της δημόσια υγείας ο μαζικός εμβολιασμός θεωρείται ο πιο αποτελεσματικός τρόπος για την πλήρη επαναλειτουργία των επιχειρήσεων για την ταχύτερη επιστροφή στην «κανονικότητα». </w:t>
      </w:r>
      <w:r w:rsidR="004A1D99" w:rsidRPr="00E36734">
        <w:rPr>
          <w:rFonts w:ascii="Times New Roman" w:eastAsia="Times New Roman" w:hAnsi="Times New Roman" w:cs="Times New Roman"/>
          <w:sz w:val="24"/>
          <w:szCs w:val="24"/>
          <w:lang w:eastAsia="el-GR"/>
        </w:rPr>
        <w:t>Συγκεκριμένα το 53,6% δήλωσε πως σίγουρα θα κάνει το εμβόλιο και το 16,7% ότι μάλλον θα το κάνει</w:t>
      </w:r>
      <w:r w:rsidR="000D303E" w:rsidRPr="00E36734">
        <w:rPr>
          <w:rFonts w:ascii="Times New Roman" w:eastAsia="Times New Roman" w:hAnsi="Times New Roman" w:cs="Times New Roman"/>
          <w:sz w:val="24"/>
          <w:szCs w:val="24"/>
          <w:lang w:eastAsia="el-GR"/>
        </w:rPr>
        <w:t>,</w:t>
      </w:r>
      <w:r w:rsidR="004A1D99" w:rsidRPr="00E36734">
        <w:rPr>
          <w:rFonts w:ascii="Times New Roman" w:eastAsia="Times New Roman" w:hAnsi="Times New Roman" w:cs="Times New Roman"/>
          <w:sz w:val="24"/>
          <w:szCs w:val="24"/>
          <w:lang w:eastAsia="el-GR"/>
        </w:rPr>
        <w:t xml:space="preserve"> έναντι του 8,2% και του 15,9% που δήλωσαν πως μάλλον ή σίγουρα δεν θα εμβολιαστούν αντίστοιχα. </w:t>
      </w:r>
      <w:r w:rsidR="00436AF7" w:rsidRPr="00E36734">
        <w:rPr>
          <w:rFonts w:ascii="Times New Roman" w:eastAsia="Times New Roman" w:hAnsi="Times New Roman" w:cs="Times New Roman"/>
          <w:sz w:val="24"/>
          <w:szCs w:val="24"/>
          <w:lang w:eastAsia="el-GR"/>
        </w:rPr>
        <w:t>Μάλιστα οι επιχειρηματίες της εστίασης καταγράφουν το μεγαλύτερο ποσοστό πρόθεσης εμβολιασμού (75%).</w:t>
      </w:r>
    </w:p>
    <w:p w14:paraId="1987BB94" w14:textId="0733CF7F" w:rsidR="00411D45" w:rsidRPr="00E36734" w:rsidRDefault="00411D45" w:rsidP="00761263">
      <w:pPr>
        <w:spacing w:after="0" w:line="360" w:lineRule="auto"/>
        <w:jc w:val="both"/>
        <w:rPr>
          <w:rFonts w:ascii="Times New Roman" w:eastAsia="Times New Roman" w:hAnsi="Times New Roman" w:cs="Times New Roman"/>
          <w:b/>
          <w:bCs/>
          <w:sz w:val="24"/>
          <w:szCs w:val="24"/>
          <w:lang w:eastAsia="el-GR"/>
        </w:rPr>
      </w:pPr>
    </w:p>
    <w:p w14:paraId="23AEB25D" w14:textId="4025C121" w:rsidR="00411D45" w:rsidRPr="00E36734" w:rsidRDefault="00411D45" w:rsidP="00411D45">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Γράφημα 1</w:t>
      </w:r>
      <w:r w:rsidR="00982B33" w:rsidRPr="00E36734">
        <w:rPr>
          <w:rFonts w:ascii="Times New Roman" w:eastAsia="Times New Roman" w:hAnsi="Times New Roman" w:cs="Times New Roman"/>
          <w:b/>
          <w:bCs/>
          <w:sz w:val="24"/>
          <w:szCs w:val="24"/>
          <w:lang w:eastAsia="el-GR"/>
        </w:rPr>
        <w:t>3</w:t>
      </w:r>
    </w:p>
    <w:p w14:paraId="7FFD57BF" w14:textId="37EFBD89" w:rsidR="00411D45" w:rsidRPr="00E36734" w:rsidRDefault="00411D45" w:rsidP="00411D45">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Πρόβλεψη επόμενο</w:t>
      </w:r>
      <w:r w:rsidR="000D303E" w:rsidRPr="00E36734">
        <w:rPr>
          <w:rFonts w:ascii="Times New Roman" w:eastAsia="Times New Roman" w:hAnsi="Times New Roman" w:cs="Times New Roman"/>
          <w:b/>
          <w:bCs/>
          <w:sz w:val="24"/>
          <w:szCs w:val="24"/>
          <w:lang w:eastAsia="el-GR"/>
        </w:rPr>
        <w:t>υ</w:t>
      </w:r>
      <w:r w:rsidRPr="00E36734">
        <w:rPr>
          <w:rFonts w:ascii="Times New Roman" w:eastAsia="Times New Roman" w:hAnsi="Times New Roman" w:cs="Times New Roman"/>
          <w:b/>
          <w:bCs/>
          <w:sz w:val="24"/>
          <w:szCs w:val="24"/>
          <w:lang w:eastAsia="el-GR"/>
        </w:rPr>
        <w:t xml:space="preserve"> εξαμήνου</w:t>
      </w:r>
    </w:p>
    <w:p w14:paraId="69ABED7C" w14:textId="351C42E8" w:rsidR="00411D45" w:rsidRPr="00E36734" w:rsidRDefault="00411D45" w:rsidP="00411D45">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Συγκεντρωτικό γράφημα</w:t>
      </w:r>
    </w:p>
    <w:p w14:paraId="5EFF9AC8" w14:textId="4F51833A" w:rsidR="00411D45" w:rsidRPr="00E36734" w:rsidRDefault="00411D45"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noProof/>
          <w:sz w:val="24"/>
          <w:szCs w:val="24"/>
          <w:lang w:eastAsia="el-GR"/>
        </w:rPr>
        <w:drawing>
          <wp:inline distT="0" distB="0" distL="0" distR="0" wp14:anchorId="05243685" wp14:editId="322D85E6">
            <wp:extent cx="6570980" cy="3194685"/>
            <wp:effectExtent l="0" t="0" r="1270" b="5715"/>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F551E71" w14:textId="0EF0BCB6" w:rsidR="000E5AE6" w:rsidRPr="00E36734" w:rsidRDefault="008F4BD9"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Από την άλλη μεριά</w:t>
      </w:r>
      <w:r w:rsidR="000D303E"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θετικό ισοζύγιο καταγράφεται </w:t>
      </w:r>
      <w:r w:rsidR="009916D3" w:rsidRPr="00E36734">
        <w:rPr>
          <w:rFonts w:ascii="Times New Roman" w:eastAsia="Times New Roman" w:hAnsi="Times New Roman" w:cs="Times New Roman"/>
          <w:sz w:val="24"/>
          <w:szCs w:val="24"/>
          <w:lang w:eastAsia="el-GR"/>
        </w:rPr>
        <w:t>στις προβλέψεις για την</w:t>
      </w:r>
      <w:r w:rsidRPr="00E36734">
        <w:rPr>
          <w:rFonts w:ascii="Times New Roman" w:eastAsia="Times New Roman" w:hAnsi="Times New Roman" w:cs="Times New Roman"/>
          <w:sz w:val="24"/>
          <w:szCs w:val="24"/>
          <w:lang w:eastAsia="el-GR"/>
        </w:rPr>
        <w:t xml:space="preserve"> απασχόληση. Συγκεκριμένα το 7,4% των μικρών και πολύ μικρών επιχειρήσεων εκτιμά πως θα κάνει προσλήψεις το Β εξάμηνο του 2021 έναντι του 3,4% που</w:t>
      </w:r>
      <w:r w:rsidR="000D303E" w:rsidRPr="00E36734">
        <w:rPr>
          <w:rFonts w:ascii="Times New Roman" w:eastAsia="Times New Roman" w:hAnsi="Times New Roman" w:cs="Times New Roman"/>
          <w:sz w:val="24"/>
          <w:szCs w:val="24"/>
          <w:lang w:eastAsia="el-GR"/>
        </w:rPr>
        <w:t xml:space="preserve"> δηλώνει πως</w:t>
      </w:r>
      <w:r w:rsidRPr="00E36734">
        <w:rPr>
          <w:rFonts w:ascii="Times New Roman" w:eastAsia="Times New Roman" w:hAnsi="Times New Roman" w:cs="Times New Roman"/>
          <w:sz w:val="24"/>
          <w:szCs w:val="24"/>
          <w:lang w:eastAsia="el-GR"/>
        </w:rPr>
        <w:t xml:space="preserve"> θα προχωρήσει σε μειώσεις προσωπικού. Οι επιχειρήσεις της μεταποίησης έχουν το υψηλότερο θετικό ισοζύγιο (9,8% θα αυξήσει το προσωπικό έναντι 1% που δήλωσε </w:t>
      </w:r>
      <w:r w:rsidRPr="00E36734">
        <w:rPr>
          <w:rFonts w:ascii="Times New Roman" w:eastAsia="Times New Roman" w:hAnsi="Times New Roman" w:cs="Times New Roman"/>
          <w:sz w:val="24"/>
          <w:szCs w:val="24"/>
          <w:lang w:eastAsia="el-GR"/>
        </w:rPr>
        <w:lastRenderedPageBreak/>
        <w:t>πως θα μειώσει), και ακολουθούν οι υπηρεσίες (7,8% θα αυξήσει, 4,1% θα μειώσει) και το εμπόριο (5,8% θα αυξήσει, 4,4% θα μειώσει).</w:t>
      </w:r>
      <w:r w:rsidR="00DF2253" w:rsidRPr="00E36734">
        <w:rPr>
          <w:rFonts w:ascii="Times New Roman" w:eastAsia="Times New Roman" w:hAnsi="Times New Roman" w:cs="Times New Roman"/>
          <w:sz w:val="24"/>
          <w:szCs w:val="24"/>
          <w:lang w:eastAsia="el-GR"/>
        </w:rPr>
        <w:t xml:space="preserve"> Παρατηρούμε, δηλαδή, πως οι τομείς εκείνοι που προχώρησαν σε μείωση του προσωπικού τους το Β εξάμηνο του 2020 είναι </w:t>
      </w:r>
      <w:r w:rsidR="000D303E" w:rsidRPr="00E36734">
        <w:rPr>
          <w:rFonts w:ascii="Times New Roman" w:eastAsia="Times New Roman" w:hAnsi="Times New Roman" w:cs="Times New Roman"/>
          <w:sz w:val="24"/>
          <w:szCs w:val="24"/>
          <w:lang w:eastAsia="el-GR"/>
        </w:rPr>
        <w:t xml:space="preserve">και εκείνοι </w:t>
      </w:r>
      <w:r w:rsidR="00DF2253" w:rsidRPr="00E36734">
        <w:rPr>
          <w:rFonts w:ascii="Times New Roman" w:eastAsia="Times New Roman" w:hAnsi="Times New Roman" w:cs="Times New Roman"/>
          <w:sz w:val="24"/>
          <w:szCs w:val="24"/>
          <w:lang w:eastAsia="el-GR"/>
        </w:rPr>
        <w:t xml:space="preserve">που θα προχωρήσουν στις περισσότερες προσλήψεις. Προφανώς η θετική αυτή </w:t>
      </w:r>
      <w:r w:rsidR="009916D3" w:rsidRPr="00E36734">
        <w:rPr>
          <w:rFonts w:ascii="Times New Roman" w:eastAsia="Times New Roman" w:hAnsi="Times New Roman" w:cs="Times New Roman"/>
          <w:sz w:val="24"/>
          <w:szCs w:val="24"/>
          <w:lang w:eastAsia="el-GR"/>
        </w:rPr>
        <w:t>εκτίμηση</w:t>
      </w:r>
      <w:r w:rsidR="00DF2253" w:rsidRPr="00E36734">
        <w:rPr>
          <w:rFonts w:ascii="Times New Roman" w:eastAsia="Times New Roman" w:hAnsi="Times New Roman" w:cs="Times New Roman"/>
          <w:sz w:val="24"/>
          <w:szCs w:val="24"/>
          <w:lang w:eastAsia="el-GR"/>
        </w:rPr>
        <w:t xml:space="preserve"> προέρχεται και από την προσδοκία πως το καλοκαίρι</w:t>
      </w:r>
      <w:r w:rsidR="009916D3" w:rsidRPr="00E36734">
        <w:rPr>
          <w:rFonts w:ascii="Times New Roman" w:eastAsia="Times New Roman" w:hAnsi="Times New Roman" w:cs="Times New Roman"/>
          <w:sz w:val="24"/>
          <w:szCs w:val="24"/>
          <w:lang w:eastAsia="el-GR"/>
        </w:rPr>
        <w:t>,</w:t>
      </w:r>
      <w:r w:rsidR="00DF2253" w:rsidRPr="00E36734">
        <w:rPr>
          <w:rFonts w:ascii="Times New Roman" w:eastAsia="Times New Roman" w:hAnsi="Times New Roman" w:cs="Times New Roman"/>
          <w:sz w:val="24"/>
          <w:szCs w:val="24"/>
          <w:lang w:eastAsia="el-GR"/>
        </w:rPr>
        <w:t xml:space="preserve"> </w:t>
      </w:r>
      <w:r w:rsidR="000D303E" w:rsidRPr="00E36734">
        <w:rPr>
          <w:rFonts w:ascii="Times New Roman" w:eastAsia="Times New Roman" w:hAnsi="Times New Roman" w:cs="Times New Roman"/>
          <w:sz w:val="24"/>
          <w:szCs w:val="24"/>
          <w:lang w:eastAsia="el-GR"/>
        </w:rPr>
        <w:t>τόσο</w:t>
      </w:r>
      <w:r w:rsidR="00DF2253" w:rsidRPr="00E36734">
        <w:rPr>
          <w:rFonts w:ascii="Times New Roman" w:eastAsia="Times New Roman" w:hAnsi="Times New Roman" w:cs="Times New Roman"/>
          <w:sz w:val="24"/>
          <w:szCs w:val="24"/>
          <w:lang w:eastAsia="el-GR"/>
        </w:rPr>
        <w:t xml:space="preserve"> λόγω των κλιματολογικών συνθηκών </w:t>
      </w:r>
      <w:r w:rsidR="00B62495" w:rsidRPr="00E36734">
        <w:rPr>
          <w:rFonts w:ascii="Times New Roman" w:eastAsia="Times New Roman" w:hAnsi="Times New Roman" w:cs="Times New Roman"/>
          <w:sz w:val="24"/>
          <w:szCs w:val="24"/>
          <w:lang w:eastAsia="el-GR"/>
        </w:rPr>
        <w:t xml:space="preserve">όσο </w:t>
      </w:r>
      <w:r w:rsidR="00DF2253" w:rsidRPr="00E36734">
        <w:rPr>
          <w:rFonts w:ascii="Times New Roman" w:eastAsia="Times New Roman" w:hAnsi="Times New Roman" w:cs="Times New Roman"/>
          <w:sz w:val="24"/>
          <w:szCs w:val="24"/>
          <w:lang w:eastAsia="el-GR"/>
        </w:rPr>
        <w:t xml:space="preserve">και λόγω της προόδου </w:t>
      </w:r>
      <w:r w:rsidR="00B62495" w:rsidRPr="00E36734">
        <w:rPr>
          <w:rFonts w:ascii="Times New Roman" w:eastAsia="Times New Roman" w:hAnsi="Times New Roman" w:cs="Times New Roman"/>
          <w:sz w:val="24"/>
          <w:szCs w:val="24"/>
          <w:lang w:eastAsia="el-GR"/>
        </w:rPr>
        <w:t xml:space="preserve">που αναμένεται </w:t>
      </w:r>
      <w:r w:rsidR="00DF2253" w:rsidRPr="00E36734">
        <w:rPr>
          <w:rFonts w:ascii="Times New Roman" w:eastAsia="Times New Roman" w:hAnsi="Times New Roman" w:cs="Times New Roman"/>
          <w:sz w:val="24"/>
          <w:szCs w:val="24"/>
          <w:lang w:eastAsia="el-GR"/>
        </w:rPr>
        <w:t>στην εμβολιαστική κάλυψη του πληθυσμού</w:t>
      </w:r>
      <w:r w:rsidR="009916D3" w:rsidRPr="00E36734">
        <w:rPr>
          <w:rFonts w:ascii="Times New Roman" w:eastAsia="Times New Roman" w:hAnsi="Times New Roman" w:cs="Times New Roman"/>
          <w:sz w:val="24"/>
          <w:szCs w:val="24"/>
          <w:lang w:eastAsia="el-GR"/>
        </w:rPr>
        <w:t>,</w:t>
      </w:r>
      <w:r w:rsidR="00DF2253" w:rsidRPr="00E36734">
        <w:rPr>
          <w:rFonts w:ascii="Times New Roman" w:eastAsia="Times New Roman" w:hAnsi="Times New Roman" w:cs="Times New Roman"/>
          <w:sz w:val="24"/>
          <w:szCs w:val="24"/>
          <w:lang w:eastAsia="el-GR"/>
        </w:rPr>
        <w:t xml:space="preserve"> θα μπορέσει να λειτουργήσει η αγορά με καλύτερες προϋποθέσεις. Επιπλέον </w:t>
      </w:r>
      <w:r w:rsidR="00396DF7" w:rsidRPr="00E36734">
        <w:rPr>
          <w:rFonts w:ascii="Times New Roman" w:eastAsia="Times New Roman" w:hAnsi="Times New Roman" w:cs="Times New Roman"/>
          <w:sz w:val="24"/>
          <w:szCs w:val="24"/>
          <w:lang w:eastAsia="el-GR"/>
        </w:rPr>
        <w:t xml:space="preserve">αποτελεί και την περίοδο που καταγράφεται αύξηση της απασχόλησης </w:t>
      </w:r>
      <w:r w:rsidR="000D303E" w:rsidRPr="00E36734">
        <w:rPr>
          <w:rFonts w:ascii="Times New Roman" w:eastAsia="Times New Roman" w:hAnsi="Times New Roman" w:cs="Times New Roman"/>
          <w:sz w:val="24"/>
          <w:szCs w:val="24"/>
          <w:lang w:eastAsia="el-GR"/>
        </w:rPr>
        <w:t>κυρίως λόγω του τουρισμού</w:t>
      </w:r>
      <w:r w:rsidR="00396DF7" w:rsidRPr="00E36734">
        <w:rPr>
          <w:rFonts w:ascii="Times New Roman" w:eastAsia="Times New Roman" w:hAnsi="Times New Roman" w:cs="Times New Roman"/>
          <w:sz w:val="24"/>
          <w:szCs w:val="24"/>
          <w:lang w:eastAsia="el-GR"/>
        </w:rPr>
        <w:t xml:space="preserve">. </w:t>
      </w:r>
    </w:p>
    <w:p w14:paraId="7C4F932A" w14:textId="3469A347" w:rsidR="00396DF7" w:rsidRPr="00E36734" w:rsidRDefault="009916D3"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Με άλλα λόγια, η</w:t>
      </w:r>
      <w:r w:rsidR="00396DF7" w:rsidRPr="00E36734">
        <w:rPr>
          <w:rFonts w:ascii="Times New Roman" w:eastAsia="Times New Roman" w:hAnsi="Times New Roman" w:cs="Times New Roman"/>
          <w:sz w:val="24"/>
          <w:szCs w:val="24"/>
          <w:lang w:eastAsia="el-GR"/>
        </w:rPr>
        <w:t xml:space="preserve"> προσδοκία</w:t>
      </w:r>
      <w:r w:rsidRPr="00E36734">
        <w:rPr>
          <w:rFonts w:ascii="Times New Roman" w:eastAsia="Times New Roman" w:hAnsi="Times New Roman" w:cs="Times New Roman"/>
          <w:sz w:val="24"/>
          <w:szCs w:val="24"/>
          <w:lang w:eastAsia="el-GR"/>
        </w:rPr>
        <w:t xml:space="preserve"> </w:t>
      </w:r>
      <w:r w:rsidR="00396DF7" w:rsidRPr="00E36734">
        <w:rPr>
          <w:rFonts w:ascii="Times New Roman" w:eastAsia="Times New Roman" w:hAnsi="Times New Roman" w:cs="Times New Roman"/>
          <w:sz w:val="24"/>
          <w:szCs w:val="24"/>
          <w:lang w:eastAsia="el-GR"/>
        </w:rPr>
        <w:t xml:space="preserve">πως θα καταστεί εφικτό να λειτουργήσει η αγορά υπό σχετικά κανονικές συνθήκες </w:t>
      </w:r>
      <w:r w:rsidR="00B62495" w:rsidRPr="00E36734">
        <w:rPr>
          <w:rFonts w:ascii="Times New Roman" w:eastAsia="Times New Roman" w:hAnsi="Times New Roman" w:cs="Times New Roman"/>
          <w:sz w:val="24"/>
          <w:szCs w:val="24"/>
          <w:lang w:eastAsia="el-GR"/>
        </w:rPr>
        <w:t>τροφοδοτεί και την εκτίμηση πως θα γίνουν οι</w:t>
      </w:r>
      <w:r w:rsidR="00396DF7" w:rsidRPr="00E36734">
        <w:rPr>
          <w:rFonts w:ascii="Times New Roman" w:eastAsia="Times New Roman" w:hAnsi="Times New Roman" w:cs="Times New Roman"/>
          <w:sz w:val="24"/>
          <w:szCs w:val="24"/>
          <w:lang w:eastAsia="el-GR"/>
        </w:rPr>
        <w:t xml:space="preserve"> προσλήψεις που διαχρονικά γίνονται πριν και κατά τη διάρκεια της καλοκαιρινής περιόδου. Αυτό φαίνεται και από τα στοιχεία των επιχειρήσεων που έχουν πληγεί περισσότερο από την υγειονομική κρίση, όπως οι επιχειρήσεις εστίασης όπου το ισοζύγιο προσλήψεων-</w:t>
      </w:r>
      <w:r w:rsidR="00650B17" w:rsidRPr="00E36734">
        <w:rPr>
          <w:rFonts w:ascii="Times New Roman" w:eastAsia="Times New Roman" w:hAnsi="Times New Roman" w:cs="Times New Roman"/>
          <w:sz w:val="24"/>
          <w:szCs w:val="24"/>
          <w:lang w:eastAsia="el-GR"/>
        </w:rPr>
        <w:t>αποχωρήσεων</w:t>
      </w:r>
      <w:r w:rsidR="00396DF7" w:rsidRPr="00E36734">
        <w:rPr>
          <w:rFonts w:ascii="Times New Roman" w:eastAsia="Times New Roman" w:hAnsi="Times New Roman" w:cs="Times New Roman"/>
          <w:sz w:val="24"/>
          <w:szCs w:val="24"/>
          <w:lang w:eastAsia="el-GR"/>
        </w:rPr>
        <w:t xml:space="preserve"> είναι θετικό</w:t>
      </w:r>
      <w:r w:rsidR="00650B17" w:rsidRPr="00E36734">
        <w:rPr>
          <w:rFonts w:ascii="Times New Roman" w:eastAsia="Times New Roman" w:hAnsi="Times New Roman" w:cs="Times New Roman"/>
          <w:sz w:val="24"/>
          <w:szCs w:val="24"/>
          <w:lang w:eastAsia="el-GR"/>
        </w:rPr>
        <w:t xml:space="preserve">. </w:t>
      </w:r>
      <w:r w:rsidR="00CB769F" w:rsidRPr="00E36734">
        <w:rPr>
          <w:rFonts w:ascii="Times New Roman" w:eastAsia="Times New Roman" w:hAnsi="Times New Roman" w:cs="Times New Roman"/>
          <w:sz w:val="24"/>
          <w:szCs w:val="24"/>
          <w:lang w:eastAsia="el-GR"/>
        </w:rPr>
        <w:t>Τονίζεται πως την προηγούμενη χρονιά εκείνο που παρατηρήθηκε στην αγορά εργασίας ήταν το πάγωμα των προσλήψεων, ιδιαίτερα στους κλάδους που συνδέονται με τον τουρισμό</w:t>
      </w:r>
      <w:r w:rsidR="0017211B" w:rsidRPr="00E36734">
        <w:rPr>
          <w:rFonts w:ascii="Times New Roman" w:eastAsia="Times New Roman" w:hAnsi="Times New Roman" w:cs="Times New Roman"/>
          <w:sz w:val="24"/>
          <w:szCs w:val="24"/>
          <w:lang w:eastAsia="el-GR"/>
        </w:rPr>
        <w:t xml:space="preserve"> έγιναν σε γενικές γραμμές οι μισές προσλήψεις σε σχέση με εκείνες που καταγράφονταν τα προηγούμενα χρόνια. </w:t>
      </w:r>
    </w:p>
    <w:p w14:paraId="4807027B" w14:textId="3B264BF9" w:rsidR="008452A1" w:rsidRPr="00E36734" w:rsidRDefault="008452A1"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Θα πρέπει </w:t>
      </w:r>
      <w:r w:rsidR="00B62495" w:rsidRPr="00E36734">
        <w:rPr>
          <w:rFonts w:ascii="Times New Roman" w:eastAsia="Times New Roman" w:hAnsi="Times New Roman" w:cs="Times New Roman"/>
          <w:sz w:val="24"/>
          <w:szCs w:val="24"/>
          <w:lang w:eastAsia="el-GR"/>
        </w:rPr>
        <w:t>επίσης</w:t>
      </w:r>
      <w:r w:rsidRPr="00E36734">
        <w:rPr>
          <w:rFonts w:ascii="Times New Roman" w:eastAsia="Times New Roman" w:hAnsi="Times New Roman" w:cs="Times New Roman"/>
          <w:sz w:val="24"/>
          <w:szCs w:val="24"/>
          <w:lang w:eastAsia="el-GR"/>
        </w:rPr>
        <w:t xml:space="preserve"> να σημειωθεί ότι η απασχόληση θα εξαρτηθεί και από την βιωσιμότητα των επιχειρήσεων. Για παράδειγμα</w:t>
      </w:r>
      <w:r w:rsidR="005C627F"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υπενθυμίζεται ότι το 77,6% των επιχειρήσεων εστίασης έχουν αναστείλει συμβάσ</w:t>
      </w:r>
      <w:r w:rsidR="00B62495" w:rsidRPr="00E36734">
        <w:rPr>
          <w:rFonts w:ascii="Times New Roman" w:eastAsia="Times New Roman" w:hAnsi="Times New Roman" w:cs="Times New Roman"/>
          <w:sz w:val="24"/>
          <w:szCs w:val="24"/>
          <w:lang w:eastAsia="el-GR"/>
        </w:rPr>
        <w:t>ει</w:t>
      </w:r>
      <w:r w:rsidRPr="00E36734">
        <w:rPr>
          <w:rFonts w:ascii="Times New Roman" w:eastAsia="Times New Roman" w:hAnsi="Times New Roman" w:cs="Times New Roman"/>
          <w:sz w:val="24"/>
          <w:szCs w:val="24"/>
          <w:lang w:eastAsia="el-GR"/>
        </w:rPr>
        <w:t>ς εργασίας. Κατά συνέπεια μια άρση του μέτρου αυτού χωρίς να έχουν διασφαλιστεί οι προϋποθέσεις για την επανεκκίνηση των επιχειρήσεων</w:t>
      </w:r>
      <w:r w:rsidR="00B62495"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μπορεί να οδηγήσει</w:t>
      </w:r>
      <w:r w:rsidR="005C627F" w:rsidRPr="00E36734">
        <w:rPr>
          <w:rFonts w:ascii="Times New Roman" w:eastAsia="Times New Roman" w:hAnsi="Times New Roman" w:cs="Times New Roman"/>
          <w:sz w:val="24"/>
          <w:szCs w:val="24"/>
          <w:lang w:eastAsia="el-GR"/>
        </w:rPr>
        <w:t xml:space="preserve"> σε μείωση των θέσεων εργασίας ή ακόμα και</w:t>
      </w:r>
      <w:r w:rsidRPr="00E36734">
        <w:rPr>
          <w:rFonts w:ascii="Times New Roman" w:eastAsia="Times New Roman" w:hAnsi="Times New Roman" w:cs="Times New Roman"/>
          <w:sz w:val="24"/>
          <w:szCs w:val="24"/>
          <w:lang w:eastAsia="el-GR"/>
        </w:rPr>
        <w:t xml:space="preserve"> σε κλείσιμο επιχειρήσεων</w:t>
      </w:r>
      <w:r w:rsidR="005C627F" w:rsidRPr="00E36734">
        <w:rPr>
          <w:rFonts w:ascii="Times New Roman" w:eastAsia="Times New Roman" w:hAnsi="Times New Roman" w:cs="Times New Roman"/>
          <w:sz w:val="24"/>
          <w:szCs w:val="24"/>
          <w:lang w:eastAsia="el-GR"/>
        </w:rPr>
        <w:t xml:space="preserve"> που σημαίνει την απώλεια του συνόλου των θέσεων απασχόλησης μιας επιχείρησης</w:t>
      </w:r>
      <w:r w:rsidRPr="00E36734">
        <w:rPr>
          <w:rFonts w:ascii="Times New Roman" w:eastAsia="Times New Roman" w:hAnsi="Times New Roman" w:cs="Times New Roman"/>
          <w:sz w:val="24"/>
          <w:szCs w:val="24"/>
          <w:lang w:eastAsia="el-GR"/>
        </w:rPr>
        <w:t xml:space="preserve">. </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09"/>
        <w:gridCol w:w="2185"/>
        <w:gridCol w:w="2064"/>
        <w:gridCol w:w="2164"/>
        <w:gridCol w:w="2150"/>
      </w:tblGrid>
      <w:tr w:rsidR="000E5AE6" w:rsidRPr="00E36734" w14:paraId="1771ACBC" w14:textId="77777777" w:rsidTr="000E5AE6">
        <w:trPr>
          <w:trHeight w:val="458"/>
        </w:trPr>
        <w:tc>
          <w:tcPr>
            <w:tcW w:w="1809" w:type="dxa"/>
            <w:vMerge w:val="restart"/>
            <w:shd w:val="clear" w:color="auto" w:fill="FDEADA"/>
            <w:tcMar>
              <w:top w:w="12" w:type="dxa"/>
              <w:left w:w="12" w:type="dxa"/>
              <w:bottom w:w="0" w:type="dxa"/>
              <w:right w:w="12" w:type="dxa"/>
            </w:tcMar>
            <w:vAlign w:val="bottom"/>
            <w:hideMark/>
          </w:tcPr>
          <w:p w14:paraId="5EC3239C" w14:textId="77777777" w:rsidR="00B62495" w:rsidRPr="00E36734" w:rsidRDefault="00B62495" w:rsidP="000E5AE6">
            <w:pPr>
              <w:spacing w:line="240" w:lineRule="auto"/>
              <w:jc w:val="center"/>
              <w:rPr>
                <w:rFonts w:eastAsia="Times New Roman" w:cstheme="minorHAnsi"/>
                <w:b/>
                <w:bCs/>
                <w:sz w:val="20"/>
                <w:szCs w:val="20"/>
              </w:rPr>
            </w:pPr>
            <w:r w:rsidRPr="00E36734">
              <w:rPr>
                <w:rFonts w:eastAsia="Times New Roman" w:cstheme="minorHAnsi"/>
                <w:b/>
                <w:bCs/>
                <w:sz w:val="20"/>
                <w:szCs w:val="20"/>
              </w:rPr>
              <w:t>Πίνακας 6</w:t>
            </w:r>
          </w:p>
          <w:p w14:paraId="75689CA8" w14:textId="10F6BC7C" w:rsidR="000E5AE6" w:rsidRPr="00E36734" w:rsidRDefault="000E5AE6" w:rsidP="000E5AE6">
            <w:pPr>
              <w:spacing w:line="240" w:lineRule="auto"/>
              <w:jc w:val="center"/>
              <w:rPr>
                <w:rFonts w:eastAsia="Times New Roman" w:cstheme="minorHAnsi"/>
                <w:sz w:val="18"/>
                <w:szCs w:val="18"/>
              </w:rPr>
            </w:pPr>
            <w:r w:rsidRPr="00E36734">
              <w:rPr>
                <w:rFonts w:eastAsia="Times New Roman" w:cstheme="minorHAnsi"/>
                <w:sz w:val="18"/>
                <w:szCs w:val="18"/>
              </w:rPr>
              <w:t>Τους επόμενους 6 μήνες θεωρείτε πιο πιθανό το προσωπικό της επιχε</w:t>
            </w:r>
            <w:r w:rsidR="00F9223A" w:rsidRPr="00E36734">
              <w:rPr>
                <w:rFonts w:eastAsia="Times New Roman" w:cstheme="minorHAnsi"/>
                <w:sz w:val="18"/>
                <w:szCs w:val="18"/>
              </w:rPr>
              <w:t>ί</w:t>
            </w:r>
            <w:r w:rsidRPr="00E36734">
              <w:rPr>
                <w:rFonts w:eastAsia="Times New Roman" w:cstheme="minorHAnsi"/>
                <w:sz w:val="18"/>
                <w:szCs w:val="18"/>
              </w:rPr>
              <w:t>ρ</w:t>
            </w:r>
            <w:r w:rsidR="00F9223A" w:rsidRPr="00E36734">
              <w:rPr>
                <w:rFonts w:eastAsia="Times New Roman" w:cstheme="minorHAnsi"/>
                <w:sz w:val="18"/>
                <w:szCs w:val="18"/>
              </w:rPr>
              <w:t>η</w:t>
            </w:r>
            <w:r w:rsidRPr="00E36734">
              <w:rPr>
                <w:rFonts w:eastAsia="Times New Roman" w:cstheme="minorHAnsi"/>
                <w:sz w:val="18"/>
                <w:szCs w:val="18"/>
              </w:rPr>
              <w:t>σής σας:</w:t>
            </w:r>
          </w:p>
        </w:tc>
        <w:tc>
          <w:tcPr>
            <w:tcW w:w="6413" w:type="dxa"/>
            <w:gridSpan w:val="3"/>
            <w:shd w:val="clear" w:color="auto" w:fill="FDEADA"/>
            <w:tcMar>
              <w:top w:w="12" w:type="dxa"/>
              <w:left w:w="12" w:type="dxa"/>
              <w:bottom w:w="0" w:type="dxa"/>
              <w:right w:w="12" w:type="dxa"/>
            </w:tcMar>
            <w:vAlign w:val="center"/>
            <w:hideMark/>
          </w:tcPr>
          <w:p w14:paraId="494ED5B6" w14:textId="77777777" w:rsidR="000E5AE6" w:rsidRPr="00E36734" w:rsidRDefault="000E5AE6" w:rsidP="000E5AE6">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Επιχειρήσεις που το τελευταίο εξάμηνο...</w:t>
            </w:r>
          </w:p>
        </w:tc>
        <w:tc>
          <w:tcPr>
            <w:tcW w:w="2150" w:type="dxa"/>
            <w:vMerge w:val="restart"/>
            <w:shd w:val="clear" w:color="auto" w:fill="FDEADA"/>
          </w:tcPr>
          <w:p w14:paraId="70698A8B" w14:textId="77777777" w:rsidR="000E5AE6" w:rsidRPr="00E36734" w:rsidRDefault="000E5AE6" w:rsidP="000E5AE6">
            <w:pPr>
              <w:spacing w:after="0" w:line="240" w:lineRule="auto"/>
              <w:jc w:val="center"/>
              <w:textAlignment w:val="center"/>
              <w:rPr>
                <w:rFonts w:eastAsia="Microsoft JhengHei UI" w:cstheme="minorHAnsi"/>
                <w:color w:val="000000"/>
                <w:kern w:val="24"/>
                <w:sz w:val="18"/>
                <w:szCs w:val="18"/>
              </w:rPr>
            </w:pPr>
          </w:p>
          <w:p w14:paraId="1BF4F820" w14:textId="77777777" w:rsidR="000E5AE6" w:rsidRPr="00E36734" w:rsidRDefault="000E5AE6" w:rsidP="000E5AE6">
            <w:pPr>
              <w:spacing w:after="0" w:line="240" w:lineRule="auto"/>
              <w:jc w:val="center"/>
              <w:textAlignment w:val="center"/>
              <w:rPr>
                <w:rFonts w:eastAsia="Microsoft JhengHei UI" w:cstheme="minorHAnsi"/>
                <w:color w:val="000000"/>
                <w:kern w:val="24"/>
                <w:sz w:val="18"/>
                <w:szCs w:val="18"/>
              </w:rPr>
            </w:pPr>
          </w:p>
          <w:p w14:paraId="1FDFA065" w14:textId="77777777" w:rsidR="000E5AE6" w:rsidRPr="00E36734" w:rsidRDefault="000E5AE6" w:rsidP="000E5AE6">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Επιχειρήσεις</w:t>
            </w:r>
          </w:p>
          <w:p w14:paraId="61190214" w14:textId="77777777" w:rsidR="000E5AE6" w:rsidRPr="00E36734" w:rsidRDefault="000E5AE6" w:rsidP="000E5AE6">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 εστίασης</w:t>
            </w:r>
          </w:p>
        </w:tc>
      </w:tr>
      <w:tr w:rsidR="000E5AE6" w:rsidRPr="00E36734" w14:paraId="1F821AA7" w14:textId="77777777" w:rsidTr="000E5AE6">
        <w:trPr>
          <w:trHeight w:val="872"/>
        </w:trPr>
        <w:tc>
          <w:tcPr>
            <w:tcW w:w="1809" w:type="dxa"/>
            <w:vMerge/>
            <w:shd w:val="clear" w:color="auto" w:fill="FDEADA"/>
            <w:tcMar>
              <w:top w:w="12" w:type="dxa"/>
              <w:left w:w="12" w:type="dxa"/>
              <w:bottom w:w="0" w:type="dxa"/>
              <w:right w:w="12" w:type="dxa"/>
            </w:tcMar>
            <w:vAlign w:val="bottom"/>
            <w:hideMark/>
          </w:tcPr>
          <w:p w14:paraId="7EFC583F" w14:textId="77777777" w:rsidR="000E5AE6" w:rsidRPr="00E36734" w:rsidRDefault="000E5AE6" w:rsidP="000E5AE6">
            <w:pPr>
              <w:spacing w:after="0" w:line="240" w:lineRule="auto"/>
              <w:jc w:val="center"/>
              <w:rPr>
                <w:rFonts w:eastAsia="Times New Roman" w:cstheme="minorHAnsi"/>
                <w:sz w:val="18"/>
                <w:szCs w:val="18"/>
              </w:rPr>
            </w:pPr>
          </w:p>
        </w:tc>
        <w:tc>
          <w:tcPr>
            <w:tcW w:w="2185" w:type="dxa"/>
            <w:shd w:val="clear" w:color="auto" w:fill="FDEADA"/>
            <w:tcMar>
              <w:top w:w="12" w:type="dxa"/>
              <w:left w:w="12" w:type="dxa"/>
              <w:bottom w:w="0" w:type="dxa"/>
              <w:right w:w="12" w:type="dxa"/>
            </w:tcMar>
            <w:vAlign w:val="center"/>
            <w:hideMark/>
          </w:tcPr>
          <w:p w14:paraId="31D272AE" w14:textId="77777777" w:rsidR="000E5AE6" w:rsidRPr="00E36734" w:rsidRDefault="000E5AE6" w:rsidP="000E5AE6">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ανέστειλαν την δραστηριότητα τους με κρατική εντολή</w:t>
            </w:r>
          </w:p>
        </w:tc>
        <w:tc>
          <w:tcPr>
            <w:tcW w:w="2064" w:type="dxa"/>
            <w:shd w:val="clear" w:color="auto" w:fill="FDEADA"/>
            <w:tcMar>
              <w:top w:w="12" w:type="dxa"/>
              <w:left w:w="12" w:type="dxa"/>
              <w:bottom w:w="0" w:type="dxa"/>
              <w:right w:w="12" w:type="dxa"/>
            </w:tcMar>
            <w:vAlign w:val="center"/>
            <w:hideMark/>
          </w:tcPr>
          <w:p w14:paraId="7186588C" w14:textId="77777777" w:rsidR="000E5AE6" w:rsidRPr="00E36734" w:rsidRDefault="000E5AE6" w:rsidP="000E5AE6">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ανήκαν στις πληττόμενες βάσει ΚΑΔ επιχειρήσεις</w:t>
            </w:r>
          </w:p>
        </w:tc>
        <w:tc>
          <w:tcPr>
            <w:tcW w:w="2164" w:type="dxa"/>
            <w:shd w:val="clear" w:color="auto" w:fill="FDEADA"/>
            <w:tcMar>
              <w:top w:w="12" w:type="dxa"/>
              <w:left w:w="12" w:type="dxa"/>
              <w:bottom w:w="0" w:type="dxa"/>
              <w:right w:w="12" w:type="dxa"/>
            </w:tcMar>
            <w:vAlign w:val="center"/>
            <w:hideMark/>
          </w:tcPr>
          <w:p w14:paraId="49FFDCCF" w14:textId="77777777" w:rsidR="000E5AE6" w:rsidRPr="00E36734" w:rsidRDefault="000E5AE6" w:rsidP="000E5AE6">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Δεν ανήκαν σε καμία από τις παρακείμενες κατηγορίες</w:t>
            </w:r>
          </w:p>
        </w:tc>
        <w:tc>
          <w:tcPr>
            <w:tcW w:w="2150" w:type="dxa"/>
            <w:vMerge/>
            <w:shd w:val="clear" w:color="auto" w:fill="FDEADA"/>
          </w:tcPr>
          <w:p w14:paraId="77C6C50A" w14:textId="77777777" w:rsidR="000E5AE6" w:rsidRPr="00E36734" w:rsidRDefault="000E5AE6" w:rsidP="000E5AE6">
            <w:pPr>
              <w:spacing w:after="0" w:line="240" w:lineRule="auto"/>
              <w:jc w:val="center"/>
              <w:textAlignment w:val="center"/>
              <w:rPr>
                <w:rFonts w:eastAsia="Microsoft JhengHei UI" w:cstheme="minorHAnsi"/>
                <w:color w:val="000000"/>
                <w:kern w:val="24"/>
                <w:sz w:val="18"/>
                <w:szCs w:val="18"/>
              </w:rPr>
            </w:pPr>
          </w:p>
        </w:tc>
      </w:tr>
      <w:tr w:rsidR="00DF2253" w:rsidRPr="00E36734" w14:paraId="40CD6731" w14:textId="77777777" w:rsidTr="0035471D">
        <w:trPr>
          <w:trHeight w:val="458"/>
        </w:trPr>
        <w:tc>
          <w:tcPr>
            <w:tcW w:w="1809" w:type="dxa"/>
            <w:shd w:val="clear" w:color="auto" w:fill="auto"/>
            <w:tcMar>
              <w:top w:w="12" w:type="dxa"/>
              <w:left w:w="12" w:type="dxa"/>
              <w:bottom w:w="0" w:type="dxa"/>
              <w:right w:w="12" w:type="dxa"/>
            </w:tcMar>
            <w:vAlign w:val="center"/>
            <w:hideMark/>
          </w:tcPr>
          <w:p w14:paraId="5D45429F" w14:textId="1CB97C0B" w:rsidR="00DF2253" w:rsidRPr="00E36734" w:rsidRDefault="00DF2253" w:rsidP="00DF2253">
            <w:pPr>
              <w:spacing w:before="240" w:after="0" w:line="240" w:lineRule="auto"/>
              <w:jc w:val="center"/>
              <w:textAlignment w:val="bottom"/>
              <w:rPr>
                <w:rFonts w:eastAsia="Times New Roman" w:cstheme="minorHAnsi"/>
                <w:sz w:val="18"/>
                <w:szCs w:val="18"/>
              </w:rPr>
            </w:pPr>
            <w:r w:rsidRPr="00E36734">
              <w:rPr>
                <w:rFonts w:eastAsia="Times New Roman" w:cstheme="minorHAnsi"/>
                <w:sz w:val="18"/>
                <w:szCs w:val="18"/>
              </w:rPr>
              <w:t>να αυξηθεί</w:t>
            </w:r>
          </w:p>
        </w:tc>
        <w:tc>
          <w:tcPr>
            <w:tcW w:w="2185" w:type="dxa"/>
            <w:shd w:val="clear" w:color="auto" w:fill="auto"/>
            <w:tcMar>
              <w:top w:w="12" w:type="dxa"/>
              <w:left w:w="12" w:type="dxa"/>
              <w:bottom w:w="0" w:type="dxa"/>
              <w:right w:w="12" w:type="dxa"/>
            </w:tcMar>
            <w:hideMark/>
          </w:tcPr>
          <w:p w14:paraId="4519B251" w14:textId="7DCC0F2A"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6,8</w:t>
            </w:r>
          </w:p>
        </w:tc>
        <w:tc>
          <w:tcPr>
            <w:tcW w:w="2064" w:type="dxa"/>
            <w:shd w:val="clear" w:color="auto" w:fill="auto"/>
            <w:tcMar>
              <w:top w:w="12" w:type="dxa"/>
              <w:left w:w="12" w:type="dxa"/>
              <w:bottom w:w="0" w:type="dxa"/>
              <w:right w:w="12" w:type="dxa"/>
            </w:tcMar>
            <w:hideMark/>
          </w:tcPr>
          <w:p w14:paraId="05DA9E21" w14:textId="68742A4E"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6,6</w:t>
            </w:r>
          </w:p>
        </w:tc>
        <w:tc>
          <w:tcPr>
            <w:tcW w:w="2164" w:type="dxa"/>
            <w:shd w:val="clear" w:color="auto" w:fill="auto"/>
            <w:tcMar>
              <w:top w:w="12" w:type="dxa"/>
              <w:left w:w="12" w:type="dxa"/>
              <w:bottom w:w="0" w:type="dxa"/>
              <w:right w:w="12" w:type="dxa"/>
            </w:tcMar>
            <w:hideMark/>
          </w:tcPr>
          <w:p w14:paraId="2EF0FD27" w14:textId="386515D5"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10,4</w:t>
            </w:r>
          </w:p>
        </w:tc>
        <w:tc>
          <w:tcPr>
            <w:tcW w:w="2150" w:type="dxa"/>
            <w:shd w:val="clear" w:color="auto" w:fill="auto"/>
          </w:tcPr>
          <w:p w14:paraId="6E2C9E9A" w14:textId="3255A570" w:rsidR="00DF2253" w:rsidRPr="00E36734" w:rsidRDefault="00DF2253" w:rsidP="00DF2253">
            <w:pPr>
              <w:spacing w:before="240" w:after="0" w:line="240" w:lineRule="auto"/>
              <w:jc w:val="center"/>
              <w:textAlignment w:val="center"/>
              <w:rPr>
                <w:rFonts w:eastAsia="Microsoft JhengHei UI" w:cstheme="minorHAnsi"/>
                <w:color w:val="000000"/>
                <w:kern w:val="24"/>
                <w:sz w:val="18"/>
                <w:szCs w:val="18"/>
              </w:rPr>
            </w:pPr>
            <w:r w:rsidRPr="00E36734">
              <w:t>10,3</w:t>
            </w:r>
          </w:p>
        </w:tc>
      </w:tr>
      <w:tr w:rsidR="00DF2253" w:rsidRPr="00E36734" w14:paraId="1E2B74B2" w14:textId="77777777" w:rsidTr="0035471D">
        <w:trPr>
          <w:trHeight w:val="458"/>
        </w:trPr>
        <w:tc>
          <w:tcPr>
            <w:tcW w:w="1809" w:type="dxa"/>
            <w:shd w:val="clear" w:color="auto" w:fill="auto"/>
            <w:tcMar>
              <w:top w:w="12" w:type="dxa"/>
              <w:left w:w="12" w:type="dxa"/>
              <w:bottom w:w="0" w:type="dxa"/>
              <w:right w:w="12" w:type="dxa"/>
            </w:tcMar>
            <w:vAlign w:val="center"/>
            <w:hideMark/>
          </w:tcPr>
          <w:p w14:paraId="22FC9659" w14:textId="16A7B75E" w:rsidR="00DF2253" w:rsidRPr="00E36734" w:rsidRDefault="00DF2253" w:rsidP="00DF2253">
            <w:pPr>
              <w:spacing w:before="240"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να μειωθεί</w:t>
            </w:r>
          </w:p>
        </w:tc>
        <w:tc>
          <w:tcPr>
            <w:tcW w:w="2185" w:type="dxa"/>
            <w:shd w:val="clear" w:color="auto" w:fill="auto"/>
            <w:tcMar>
              <w:top w:w="12" w:type="dxa"/>
              <w:left w:w="12" w:type="dxa"/>
              <w:bottom w:w="0" w:type="dxa"/>
              <w:right w:w="12" w:type="dxa"/>
            </w:tcMar>
            <w:hideMark/>
          </w:tcPr>
          <w:p w14:paraId="4F209C1D" w14:textId="36FA8877"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3,1</w:t>
            </w:r>
          </w:p>
        </w:tc>
        <w:tc>
          <w:tcPr>
            <w:tcW w:w="2064" w:type="dxa"/>
            <w:shd w:val="clear" w:color="auto" w:fill="auto"/>
            <w:tcMar>
              <w:top w:w="12" w:type="dxa"/>
              <w:left w:w="12" w:type="dxa"/>
              <w:bottom w:w="0" w:type="dxa"/>
              <w:right w:w="12" w:type="dxa"/>
            </w:tcMar>
            <w:hideMark/>
          </w:tcPr>
          <w:p w14:paraId="3111DED3" w14:textId="1A3DD6E1"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3,3</w:t>
            </w:r>
          </w:p>
        </w:tc>
        <w:tc>
          <w:tcPr>
            <w:tcW w:w="2164" w:type="dxa"/>
            <w:shd w:val="clear" w:color="auto" w:fill="auto"/>
            <w:tcMar>
              <w:top w:w="12" w:type="dxa"/>
              <w:left w:w="12" w:type="dxa"/>
              <w:bottom w:w="0" w:type="dxa"/>
              <w:right w:w="12" w:type="dxa"/>
            </w:tcMar>
            <w:hideMark/>
          </w:tcPr>
          <w:p w14:paraId="159E19C6" w14:textId="4E1669D8"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4,4</w:t>
            </w:r>
          </w:p>
        </w:tc>
        <w:tc>
          <w:tcPr>
            <w:tcW w:w="2150" w:type="dxa"/>
            <w:shd w:val="clear" w:color="auto" w:fill="auto"/>
          </w:tcPr>
          <w:p w14:paraId="6D4F8197" w14:textId="656EB4CA" w:rsidR="00DF2253" w:rsidRPr="00E36734" w:rsidRDefault="00DF2253" w:rsidP="00DF2253">
            <w:pPr>
              <w:spacing w:before="240" w:after="0" w:line="240" w:lineRule="auto"/>
              <w:jc w:val="center"/>
              <w:textAlignment w:val="center"/>
              <w:rPr>
                <w:rFonts w:eastAsia="Microsoft JhengHei UI" w:cstheme="minorHAnsi"/>
                <w:color w:val="000000"/>
                <w:kern w:val="24"/>
                <w:sz w:val="18"/>
                <w:szCs w:val="18"/>
              </w:rPr>
            </w:pPr>
            <w:r w:rsidRPr="00E36734">
              <w:t>5,9</w:t>
            </w:r>
          </w:p>
        </w:tc>
      </w:tr>
      <w:tr w:rsidR="00DF2253" w:rsidRPr="00E36734" w14:paraId="5DF43A37" w14:textId="77777777" w:rsidTr="0035471D">
        <w:trPr>
          <w:trHeight w:val="458"/>
        </w:trPr>
        <w:tc>
          <w:tcPr>
            <w:tcW w:w="1809" w:type="dxa"/>
            <w:shd w:val="clear" w:color="auto" w:fill="auto"/>
            <w:tcMar>
              <w:top w:w="12" w:type="dxa"/>
              <w:left w:w="12" w:type="dxa"/>
              <w:bottom w:w="0" w:type="dxa"/>
              <w:right w:w="12" w:type="dxa"/>
            </w:tcMar>
            <w:vAlign w:val="center"/>
            <w:hideMark/>
          </w:tcPr>
          <w:p w14:paraId="04288771" w14:textId="14BE65EF" w:rsidR="00DF2253" w:rsidRPr="00E36734" w:rsidRDefault="00DF2253" w:rsidP="00DF2253">
            <w:pPr>
              <w:spacing w:before="240" w:after="0" w:line="240" w:lineRule="auto"/>
              <w:jc w:val="center"/>
              <w:textAlignment w:val="bottom"/>
              <w:rPr>
                <w:rFonts w:eastAsia="Microsoft JhengHei UI" w:cstheme="minorHAnsi"/>
                <w:color w:val="000000"/>
                <w:kern w:val="24"/>
                <w:sz w:val="18"/>
                <w:szCs w:val="18"/>
              </w:rPr>
            </w:pPr>
            <w:r w:rsidRPr="00E36734">
              <w:rPr>
                <w:rFonts w:eastAsia="Microsoft JhengHei UI" w:cstheme="minorHAnsi"/>
                <w:color w:val="000000"/>
                <w:kern w:val="24"/>
                <w:sz w:val="18"/>
                <w:szCs w:val="18"/>
              </w:rPr>
              <w:t>να παραμείνει σταθερό</w:t>
            </w:r>
          </w:p>
        </w:tc>
        <w:tc>
          <w:tcPr>
            <w:tcW w:w="2185" w:type="dxa"/>
            <w:shd w:val="clear" w:color="auto" w:fill="auto"/>
            <w:tcMar>
              <w:top w:w="12" w:type="dxa"/>
              <w:left w:w="12" w:type="dxa"/>
              <w:bottom w:w="0" w:type="dxa"/>
              <w:right w:w="12" w:type="dxa"/>
            </w:tcMar>
            <w:hideMark/>
          </w:tcPr>
          <w:p w14:paraId="21E0A510" w14:textId="0C9602F5"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88,5</w:t>
            </w:r>
          </w:p>
        </w:tc>
        <w:tc>
          <w:tcPr>
            <w:tcW w:w="2064" w:type="dxa"/>
            <w:shd w:val="clear" w:color="auto" w:fill="auto"/>
            <w:tcMar>
              <w:top w:w="12" w:type="dxa"/>
              <w:left w:w="12" w:type="dxa"/>
              <w:bottom w:w="0" w:type="dxa"/>
              <w:right w:w="12" w:type="dxa"/>
            </w:tcMar>
            <w:hideMark/>
          </w:tcPr>
          <w:p w14:paraId="42291454" w14:textId="730D1D76"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86,5</w:t>
            </w:r>
          </w:p>
        </w:tc>
        <w:tc>
          <w:tcPr>
            <w:tcW w:w="2164" w:type="dxa"/>
            <w:shd w:val="clear" w:color="auto" w:fill="auto"/>
            <w:tcMar>
              <w:top w:w="12" w:type="dxa"/>
              <w:left w:w="12" w:type="dxa"/>
              <w:bottom w:w="0" w:type="dxa"/>
              <w:right w:w="12" w:type="dxa"/>
            </w:tcMar>
            <w:hideMark/>
          </w:tcPr>
          <w:p w14:paraId="3CFDB93A" w14:textId="29C15DD7"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83,1</w:t>
            </w:r>
          </w:p>
        </w:tc>
        <w:tc>
          <w:tcPr>
            <w:tcW w:w="2150" w:type="dxa"/>
            <w:shd w:val="clear" w:color="auto" w:fill="auto"/>
          </w:tcPr>
          <w:p w14:paraId="6CB7B052" w14:textId="15750B69" w:rsidR="00DF2253" w:rsidRPr="00E36734" w:rsidRDefault="00DF2253" w:rsidP="00DF2253">
            <w:pPr>
              <w:spacing w:before="240" w:after="0" w:line="240" w:lineRule="auto"/>
              <w:jc w:val="center"/>
              <w:textAlignment w:val="center"/>
              <w:rPr>
                <w:rFonts w:eastAsia="Microsoft JhengHei UI" w:cstheme="minorHAnsi"/>
                <w:color w:val="000000"/>
                <w:kern w:val="24"/>
                <w:sz w:val="18"/>
                <w:szCs w:val="18"/>
              </w:rPr>
            </w:pPr>
            <w:r w:rsidRPr="00E36734">
              <w:t>82,4</w:t>
            </w:r>
          </w:p>
        </w:tc>
      </w:tr>
      <w:tr w:rsidR="00DF2253" w:rsidRPr="00E36734" w14:paraId="47AAE29F" w14:textId="77777777" w:rsidTr="0035471D">
        <w:trPr>
          <w:trHeight w:val="458"/>
        </w:trPr>
        <w:tc>
          <w:tcPr>
            <w:tcW w:w="1809" w:type="dxa"/>
            <w:shd w:val="clear" w:color="auto" w:fill="auto"/>
            <w:tcMar>
              <w:top w:w="12" w:type="dxa"/>
              <w:left w:w="12" w:type="dxa"/>
              <w:bottom w:w="0" w:type="dxa"/>
              <w:right w:w="12" w:type="dxa"/>
            </w:tcMar>
            <w:vAlign w:val="center"/>
            <w:hideMark/>
          </w:tcPr>
          <w:p w14:paraId="7D6A36B4" w14:textId="0533A8CB" w:rsidR="00DF2253" w:rsidRPr="00E36734" w:rsidRDefault="00DF2253" w:rsidP="00DF2253">
            <w:pPr>
              <w:spacing w:before="240"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Δ.Ξ/Δ.Α</w:t>
            </w:r>
          </w:p>
        </w:tc>
        <w:tc>
          <w:tcPr>
            <w:tcW w:w="2185" w:type="dxa"/>
            <w:shd w:val="clear" w:color="auto" w:fill="auto"/>
            <w:tcMar>
              <w:top w:w="12" w:type="dxa"/>
              <w:left w:w="12" w:type="dxa"/>
              <w:bottom w:w="0" w:type="dxa"/>
              <w:right w:w="12" w:type="dxa"/>
            </w:tcMar>
            <w:hideMark/>
          </w:tcPr>
          <w:p w14:paraId="6EC198B7" w14:textId="2841AA08"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1,6</w:t>
            </w:r>
          </w:p>
        </w:tc>
        <w:tc>
          <w:tcPr>
            <w:tcW w:w="2064" w:type="dxa"/>
            <w:shd w:val="clear" w:color="auto" w:fill="auto"/>
            <w:tcMar>
              <w:top w:w="12" w:type="dxa"/>
              <w:left w:w="12" w:type="dxa"/>
              <w:bottom w:w="0" w:type="dxa"/>
              <w:right w:w="12" w:type="dxa"/>
            </w:tcMar>
            <w:hideMark/>
          </w:tcPr>
          <w:p w14:paraId="140C921B" w14:textId="70D74A29"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3,6</w:t>
            </w:r>
          </w:p>
        </w:tc>
        <w:tc>
          <w:tcPr>
            <w:tcW w:w="2164" w:type="dxa"/>
            <w:shd w:val="clear" w:color="auto" w:fill="auto"/>
            <w:tcMar>
              <w:top w:w="12" w:type="dxa"/>
              <w:left w:w="12" w:type="dxa"/>
              <w:bottom w:w="0" w:type="dxa"/>
              <w:right w:w="12" w:type="dxa"/>
            </w:tcMar>
            <w:hideMark/>
          </w:tcPr>
          <w:p w14:paraId="414DBF65" w14:textId="06B5B849" w:rsidR="00DF2253" w:rsidRPr="00E36734" w:rsidRDefault="00DF2253" w:rsidP="00DF2253">
            <w:pPr>
              <w:spacing w:before="240" w:after="0" w:line="240" w:lineRule="auto"/>
              <w:jc w:val="center"/>
              <w:textAlignment w:val="center"/>
              <w:rPr>
                <w:rFonts w:eastAsia="Times New Roman" w:cstheme="minorHAnsi"/>
                <w:sz w:val="18"/>
                <w:szCs w:val="18"/>
                <w:lang w:val="en-US"/>
              </w:rPr>
            </w:pPr>
            <w:r w:rsidRPr="00E36734">
              <w:t>2,2</w:t>
            </w:r>
          </w:p>
        </w:tc>
        <w:tc>
          <w:tcPr>
            <w:tcW w:w="2150" w:type="dxa"/>
            <w:shd w:val="clear" w:color="auto" w:fill="auto"/>
          </w:tcPr>
          <w:p w14:paraId="5EB45843" w14:textId="295E645F" w:rsidR="00DF2253" w:rsidRPr="00E36734" w:rsidRDefault="00DF2253" w:rsidP="00DF2253">
            <w:pPr>
              <w:spacing w:before="240" w:after="0" w:line="240" w:lineRule="auto"/>
              <w:jc w:val="center"/>
              <w:textAlignment w:val="center"/>
              <w:rPr>
                <w:rFonts w:eastAsia="Microsoft JhengHei UI" w:cstheme="minorHAnsi"/>
                <w:color w:val="000000"/>
                <w:kern w:val="24"/>
                <w:sz w:val="18"/>
                <w:szCs w:val="18"/>
                <w:lang w:val="en-US"/>
              </w:rPr>
            </w:pPr>
            <w:r w:rsidRPr="00E36734">
              <w:t>1,5</w:t>
            </w:r>
          </w:p>
        </w:tc>
      </w:tr>
    </w:tbl>
    <w:p w14:paraId="1A2E6792" w14:textId="77777777" w:rsidR="000E5AE6" w:rsidRPr="00E36734" w:rsidRDefault="000E5AE6" w:rsidP="00761263">
      <w:pPr>
        <w:spacing w:after="0" w:line="360" w:lineRule="auto"/>
        <w:jc w:val="both"/>
        <w:rPr>
          <w:rFonts w:ascii="Times New Roman" w:eastAsia="Times New Roman" w:hAnsi="Times New Roman" w:cs="Times New Roman"/>
          <w:sz w:val="24"/>
          <w:szCs w:val="24"/>
          <w:lang w:eastAsia="el-GR"/>
        </w:rPr>
      </w:pPr>
    </w:p>
    <w:p w14:paraId="36F2B045" w14:textId="53A99D7A" w:rsidR="005C627F" w:rsidRPr="00E36734" w:rsidRDefault="005C627F" w:rsidP="00761263">
      <w:pPr>
        <w:spacing w:after="0" w:line="360" w:lineRule="auto"/>
        <w:rPr>
          <w:rFonts w:ascii="Times New Roman" w:eastAsia="Times New Roman" w:hAnsi="Times New Roman" w:cs="Times New Roman"/>
          <w:noProof/>
          <w:sz w:val="24"/>
          <w:szCs w:val="24"/>
          <w:lang w:eastAsia="el-GR"/>
        </w:rPr>
      </w:pPr>
    </w:p>
    <w:p w14:paraId="2D0B447D" w14:textId="244F29DB" w:rsidR="0017211B" w:rsidRPr="00E36734" w:rsidRDefault="0017211B" w:rsidP="00761263">
      <w:pPr>
        <w:spacing w:after="0" w:line="360" w:lineRule="auto"/>
        <w:rPr>
          <w:rFonts w:ascii="Times New Roman" w:eastAsia="Times New Roman" w:hAnsi="Times New Roman" w:cs="Times New Roman"/>
          <w:noProof/>
          <w:sz w:val="24"/>
          <w:szCs w:val="24"/>
          <w:lang w:eastAsia="el-GR"/>
        </w:rPr>
      </w:pPr>
    </w:p>
    <w:p w14:paraId="0C05841D" w14:textId="77777777" w:rsidR="0017211B" w:rsidRPr="00E36734" w:rsidRDefault="0017211B" w:rsidP="00761263">
      <w:pPr>
        <w:spacing w:after="0" w:line="360" w:lineRule="auto"/>
        <w:rPr>
          <w:rFonts w:ascii="Times New Roman" w:eastAsia="Times New Roman" w:hAnsi="Times New Roman" w:cs="Times New Roman"/>
          <w:noProof/>
          <w:sz w:val="24"/>
          <w:szCs w:val="24"/>
          <w:lang w:eastAsia="el-GR"/>
        </w:rPr>
      </w:pPr>
    </w:p>
    <w:p w14:paraId="6F4460B9" w14:textId="77777777" w:rsidR="00A9257F" w:rsidRPr="00E36734" w:rsidRDefault="00A9257F" w:rsidP="00761263">
      <w:pPr>
        <w:pStyle w:val="a5"/>
        <w:numPr>
          <w:ilvl w:val="0"/>
          <w:numId w:val="1"/>
        </w:num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b/>
          <w:sz w:val="24"/>
          <w:szCs w:val="24"/>
          <w:u w:val="single"/>
          <w:lang w:eastAsia="el-GR"/>
        </w:rPr>
        <w:lastRenderedPageBreak/>
        <w:t>ΥΠΟΧΡΕΩΣΕΙΣ ΚΑΙ ΟΦΕΙΛΕΣ ΕΠΙΧΕΙΡΗΣΕΩΝ</w:t>
      </w:r>
    </w:p>
    <w:p w14:paraId="158C4339" w14:textId="7E8B5E83" w:rsidR="009F6718" w:rsidRPr="00E36734" w:rsidRDefault="0021116B" w:rsidP="0021116B">
      <w:pPr>
        <w:spacing w:after="0" w:line="360" w:lineRule="auto"/>
        <w:jc w:val="both"/>
        <w:rPr>
          <w:rFonts w:ascii="Times New Roman" w:eastAsia="Times New Roman" w:hAnsi="Times New Roman" w:cs="Times New Roman"/>
          <w:sz w:val="24"/>
          <w:szCs w:val="24"/>
          <w:lang w:eastAsia="el-GR"/>
        </w:rPr>
      </w:pPr>
      <w:bookmarkStart w:id="20" w:name="_Hlk68090256"/>
      <w:r w:rsidRPr="00E36734">
        <w:rPr>
          <w:rFonts w:ascii="Times New Roman" w:eastAsia="Times New Roman" w:hAnsi="Times New Roman" w:cs="Times New Roman"/>
          <w:sz w:val="24"/>
          <w:szCs w:val="24"/>
          <w:lang w:eastAsia="el-GR"/>
        </w:rPr>
        <w:t xml:space="preserve">Υψηλά </w:t>
      </w:r>
      <w:r w:rsidR="00A108EE" w:rsidRPr="00E36734">
        <w:rPr>
          <w:rFonts w:ascii="Times New Roman" w:eastAsia="Times New Roman" w:hAnsi="Times New Roman" w:cs="Times New Roman"/>
          <w:sz w:val="24"/>
          <w:szCs w:val="24"/>
          <w:lang w:eastAsia="el-GR"/>
        </w:rPr>
        <w:t>παραμένουν</w:t>
      </w:r>
      <w:r w:rsidRPr="00E36734">
        <w:rPr>
          <w:rFonts w:ascii="Times New Roman" w:eastAsia="Times New Roman" w:hAnsi="Times New Roman" w:cs="Times New Roman"/>
          <w:sz w:val="24"/>
          <w:szCs w:val="24"/>
          <w:lang w:eastAsia="el-GR"/>
        </w:rPr>
        <w:t xml:space="preserve"> τα ποσοστά των επιχειρήσεων που </w:t>
      </w:r>
      <w:r w:rsidR="00971CF2" w:rsidRPr="00E36734">
        <w:rPr>
          <w:rFonts w:ascii="Times New Roman" w:eastAsia="Times New Roman" w:hAnsi="Times New Roman" w:cs="Times New Roman"/>
          <w:sz w:val="24"/>
          <w:szCs w:val="24"/>
          <w:lang w:eastAsia="el-GR"/>
        </w:rPr>
        <w:t xml:space="preserve">δηλώνουν πως </w:t>
      </w:r>
      <w:r w:rsidRPr="00E36734">
        <w:rPr>
          <w:rFonts w:ascii="Times New Roman" w:eastAsia="Times New Roman" w:hAnsi="Times New Roman" w:cs="Times New Roman"/>
          <w:sz w:val="24"/>
          <w:szCs w:val="24"/>
          <w:lang w:eastAsia="el-GR"/>
        </w:rPr>
        <w:t>έχουν</w:t>
      </w:r>
      <w:r w:rsidR="00AB1C80" w:rsidRPr="00E36734">
        <w:rPr>
          <w:rFonts w:ascii="Times New Roman" w:eastAsia="Times New Roman" w:hAnsi="Times New Roman" w:cs="Times New Roman"/>
          <w:sz w:val="24"/>
          <w:szCs w:val="24"/>
          <w:lang w:eastAsia="el-GR"/>
        </w:rPr>
        <w:t xml:space="preserve"> ληξιπρόθεσμες οφειλές</w:t>
      </w:r>
      <w:r w:rsidR="00A108EE" w:rsidRPr="00E36734">
        <w:rPr>
          <w:rFonts w:ascii="Times New Roman" w:eastAsia="Times New Roman" w:hAnsi="Times New Roman" w:cs="Times New Roman"/>
          <w:sz w:val="24"/>
          <w:szCs w:val="24"/>
          <w:lang w:eastAsia="el-GR"/>
        </w:rPr>
        <w:t xml:space="preserve">, παρόλο που </w:t>
      </w:r>
      <w:r w:rsidR="009F6718" w:rsidRPr="00E36734">
        <w:rPr>
          <w:rFonts w:ascii="Times New Roman" w:eastAsia="Times New Roman" w:hAnsi="Times New Roman" w:cs="Times New Roman"/>
          <w:sz w:val="24"/>
          <w:szCs w:val="24"/>
          <w:lang w:eastAsia="el-GR"/>
        </w:rPr>
        <w:t>στις περισσότερες</w:t>
      </w:r>
      <w:r w:rsidR="00A108EE" w:rsidRPr="00E36734">
        <w:rPr>
          <w:rFonts w:ascii="Times New Roman" w:eastAsia="Times New Roman" w:hAnsi="Times New Roman" w:cs="Times New Roman"/>
          <w:sz w:val="24"/>
          <w:szCs w:val="24"/>
          <w:lang w:eastAsia="el-GR"/>
        </w:rPr>
        <w:t xml:space="preserve"> κατηγορίες υποχρεώσεων</w:t>
      </w:r>
      <w:r w:rsidRPr="00E36734">
        <w:rPr>
          <w:rFonts w:ascii="Times New Roman" w:eastAsia="Times New Roman" w:hAnsi="Times New Roman" w:cs="Times New Roman"/>
          <w:sz w:val="24"/>
          <w:szCs w:val="24"/>
          <w:lang w:eastAsia="el-GR"/>
        </w:rPr>
        <w:t xml:space="preserve"> είναι </w:t>
      </w:r>
      <w:r w:rsidR="002103D0" w:rsidRPr="00E36734">
        <w:rPr>
          <w:rFonts w:ascii="Times New Roman" w:eastAsia="Times New Roman" w:hAnsi="Times New Roman" w:cs="Times New Roman"/>
          <w:sz w:val="24"/>
          <w:szCs w:val="24"/>
          <w:lang w:eastAsia="el-GR"/>
        </w:rPr>
        <w:t>μειωμένα σε σύγκριση με</w:t>
      </w:r>
      <w:r w:rsidRPr="00E36734">
        <w:rPr>
          <w:rFonts w:ascii="Times New Roman" w:eastAsia="Times New Roman" w:hAnsi="Times New Roman" w:cs="Times New Roman"/>
          <w:sz w:val="24"/>
          <w:szCs w:val="24"/>
          <w:lang w:eastAsia="el-GR"/>
        </w:rPr>
        <w:t xml:space="preserve"> εκείνα τ</w:t>
      </w:r>
      <w:r w:rsidR="009F6718" w:rsidRPr="00E36734">
        <w:rPr>
          <w:rFonts w:ascii="Times New Roman" w:eastAsia="Times New Roman" w:hAnsi="Times New Roman" w:cs="Times New Roman"/>
          <w:sz w:val="24"/>
          <w:szCs w:val="24"/>
          <w:lang w:eastAsia="el-GR"/>
        </w:rPr>
        <w:t>η</w:t>
      </w:r>
      <w:r w:rsidRPr="00E36734">
        <w:rPr>
          <w:rFonts w:ascii="Times New Roman" w:eastAsia="Times New Roman" w:hAnsi="Times New Roman" w:cs="Times New Roman"/>
          <w:sz w:val="24"/>
          <w:szCs w:val="24"/>
          <w:lang w:eastAsia="el-GR"/>
        </w:rPr>
        <w:t xml:space="preserve">ς </w:t>
      </w:r>
      <w:r w:rsidR="009F6718" w:rsidRPr="00E36734">
        <w:rPr>
          <w:rFonts w:ascii="Times New Roman" w:eastAsia="Times New Roman" w:hAnsi="Times New Roman" w:cs="Times New Roman"/>
          <w:sz w:val="24"/>
          <w:szCs w:val="24"/>
          <w:lang w:eastAsia="el-GR"/>
        </w:rPr>
        <w:t xml:space="preserve">προηγούμενης εξαμηνιαίας </w:t>
      </w:r>
      <w:r w:rsidRPr="00E36734">
        <w:rPr>
          <w:rFonts w:ascii="Times New Roman" w:eastAsia="Times New Roman" w:hAnsi="Times New Roman" w:cs="Times New Roman"/>
          <w:sz w:val="24"/>
          <w:szCs w:val="24"/>
          <w:lang w:eastAsia="el-GR"/>
        </w:rPr>
        <w:t xml:space="preserve">έρευνας του </w:t>
      </w:r>
      <w:r w:rsidR="009F6718" w:rsidRPr="00E36734">
        <w:rPr>
          <w:rFonts w:ascii="Times New Roman" w:eastAsia="Times New Roman" w:hAnsi="Times New Roman" w:cs="Times New Roman"/>
          <w:sz w:val="24"/>
          <w:szCs w:val="24"/>
          <w:lang w:eastAsia="el-GR"/>
        </w:rPr>
        <w:t>ΙΜΕ ΓΣΕΒΕΕ (Ιούλιος 2020)</w:t>
      </w:r>
      <w:r w:rsidRPr="00E36734">
        <w:rPr>
          <w:rFonts w:ascii="Times New Roman" w:eastAsia="Times New Roman" w:hAnsi="Times New Roman" w:cs="Times New Roman"/>
          <w:sz w:val="24"/>
          <w:szCs w:val="24"/>
          <w:lang w:eastAsia="el-GR"/>
        </w:rPr>
        <w:t xml:space="preserve">. </w:t>
      </w:r>
      <w:r w:rsidR="009F6718" w:rsidRPr="00E36734">
        <w:rPr>
          <w:rFonts w:ascii="Times New Roman" w:eastAsia="Times New Roman" w:hAnsi="Times New Roman" w:cs="Times New Roman"/>
          <w:sz w:val="24"/>
          <w:szCs w:val="24"/>
          <w:lang w:eastAsia="el-GR"/>
        </w:rPr>
        <w:t>Επιπλέον,</w:t>
      </w:r>
      <w:r w:rsidR="005C627F" w:rsidRPr="00E36734">
        <w:rPr>
          <w:rFonts w:ascii="Times New Roman" w:eastAsia="Times New Roman" w:hAnsi="Times New Roman" w:cs="Times New Roman"/>
          <w:sz w:val="24"/>
          <w:szCs w:val="24"/>
          <w:lang w:eastAsia="el-GR"/>
        </w:rPr>
        <w:t xml:space="preserve"> και σε αυτούς τους δείκτες</w:t>
      </w:r>
      <w:r w:rsidR="009F6718" w:rsidRPr="00E36734">
        <w:rPr>
          <w:rFonts w:ascii="Times New Roman" w:eastAsia="Times New Roman" w:hAnsi="Times New Roman" w:cs="Times New Roman"/>
          <w:sz w:val="24"/>
          <w:szCs w:val="24"/>
          <w:lang w:eastAsia="el-GR"/>
        </w:rPr>
        <w:t xml:space="preserve"> παρουσιάζονται σημαντικές διαφοροποιήσεις μεταξύ των επιχειρήσεων. Οι επιχειρήσεις που αντιμετωπίζουν μεγαλύτερα προβλήματα αποπληρωμής των υποχρεώσεων τους παρατηρούνται περισσότερο σε εκείνες που ανέστειλαν την λειτουργία τους με κρατική εντολή, έναντι των υπόλοιπων.</w:t>
      </w:r>
    </w:p>
    <w:p w14:paraId="27904093" w14:textId="4329CDD2" w:rsidR="00FF742A" w:rsidRPr="00E36734" w:rsidRDefault="00AB1C80" w:rsidP="00FF742A">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Όπου έχουν ληφθεί </w:t>
      </w:r>
      <w:r w:rsidR="0021116B" w:rsidRPr="00E36734">
        <w:rPr>
          <w:rFonts w:ascii="Times New Roman" w:eastAsia="Times New Roman" w:hAnsi="Times New Roman" w:cs="Times New Roman"/>
          <w:sz w:val="24"/>
          <w:szCs w:val="24"/>
          <w:lang w:eastAsia="el-GR"/>
        </w:rPr>
        <w:t xml:space="preserve">αποτελεσματικά </w:t>
      </w:r>
      <w:r w:rsidRPr="00E36734">
        <w:rPr>
          <w:rFonts w:ascii="Times New Roman" w:eastAsia="Times New Roman" w:hAnsi="Times New Roman" w:cs="Times New Roman"/>
          <w:sz w:val="24"/>
          <w:szCs w:val="24"/>
          <w:lang w:eastAsia="el-GR"/>
        </w:rPr>
        <w:t xml:space="preserve">μέτρα για την ανακούφιση των επιχειρήσεων οι </w:t>
      </w:r>
      <w:r w:rsidR="0021116B" w:rsidRPr="00E36734">
        <w:rPr>
          <w:rFonts w:ascii="Times New Roman" w:eastAsia="Times New Roman" w:hAnsi="Times New Roman" w:cs="Times New Roman"/>
          <w:sz w:val="24"/>
          <w:szCs w:val="24"/>
          <w:lang w:eastAsia="el-GR"/>
        </w:rPr>
        <w:t xml:space="preserve">ληξιπρόθεσμες </w:t>
      </w:r>
      <w:r w:rsidRPr="00E36734">
        <w:rPr>
          <w:rFonts w:ascii="Times New Roman" w:eastAsia="Times New Roman" w:hAnsi="Times New Roman" w:cs="Times New Roman"/>
          <w:sz w:val="24"/>
          <w:szCs w:val="24"/>
          <w:lang w:eastAsia="el-GR"/>
        </w:rPr>
        <w:t>οφειλές φαίνεται πως έχουν συγκρατηθεί</w:t>
      </w:r>
      <w:bookmarkEnd w:id="20"/>
      <w:r w:rsidRPr="00E36734">
        <w:rPr>
          <w:rFonts w:ascii="Times New Roman" w:eastAsia="Times New Roman" w:hAnsi="Times New Roman" w:cs="Times New Roman"/>
          <w:sz w:val="24"/>
          <w:szCs w:val="24"/>
          <w:lang w:eastAsia="el-GR"/>
        </w:rPr>
        <w:t xml:space="preserve">. </w:t>
      </w:r>
      <w:r w:rsidR="009F6718" w:rsidRPr="00E36734">
        <w:rPr>
          <w:rFonts w:ascii="Times New Roman" w:eastAsia="Times New Roman" w:hAnsi="Times New Roman" w:cs="Times New Roman"/>
          <w:sz w:val="24"/>
          <w:szCs w:val="24"/>
          <w:lang w:eastAsia="el-GR"/>
        </w:rPr>
        <w:t>Ειδικότερα, όσον αφορά τα ενοίκια, το ποσοστό των επιχειρήσεων που έχει καθυστερημένες οφειλές είναι μειωμένο σε σχέση με την προηγουμένη έρευνα του ΙΜΕ ΓΣΕΒΕΕ προσεγγίζοντας τα επίπεδα της προ Covid-19 περιόδου. Συγκεκριμένα το 23% των επιχειρήσεων που δεν έχουν ιδιόκτητη επαγγελματική στέγη δήλωσαν πως έχουν καθυστερημένες οφειλές ενοικίου έναντι του 30% που ήταν το αντίστοιχο ποσοστό της έρευνας του Ιουλίου του 2020. Φαίνεται πως τα μέτρα μείωσης/απαλλαγής ενοικίου που έχουν ληφθεί έχουν οδηγήσει σε μείωση των οφειλετών. Μεγαλύτερο είναι</w:t>
      </w:r>
      <w:r w:rsidR="00170F96" w:rsidRPr="00E36734">
        <w:rPr>
          <w:rFonts w:ascii="Times New Roman" w:eastAsia="Times New Roman" w:hAnsi="Times New Roman" w:cs="Times New Roman"/>
          <w:sz w:val="24"/>
          <w:szCs w:val="24"/>
          <w:lang w:eastAsia="el-GR"/>
        </w:rPr>
        <w:t>,</w:t>
      </w:r>
      <w:r w:rsidR="009F6718" w:rsidRPr="00E36734">
        <w:rPr>
          <w:rFonts w:ascii="Times New Roman" w:eastAsia="Times New Roman" w:hAnsi="Times New Roman" w:cs="Times New Roman"/>
          <w:sz w:val="24"/>
          <w:szCs w:val="24"/>
          <w:lang w:eastAsia="el-GR"/>
        </w:rPr>
        <w:t xml:space="preserve"> ωστόσο</w:t>
      </w:r>
      <w:r w:rsidR="00170F96" w:rsidRPr="00E36734">
        <w:rPr>
          <w:rFonts w:ascii="Times New Roman" w:eastAsia="Times New Roman" w:hAnsi="Times New Roman" w:cs="Times New Roman"/>
          <w:sz w:val="24"/>
          <w:szCs w:val="24"/>
          <w:lang w:eastAsia="el-GR"/>
        </w:rPr>
        <w:t>,</w:t>
      </w:r>
      <w:r w:rsidR="009F6718" w:rsidRPr="00E36734">
        <w:rPr>
          <w:rFonts w:ascii="Times New Roman" w:eastAsia="Times New Roman" w:hAnsi="Times New Roman" w:cs="Times New Roman"/>
          <w:sz w:val="24"/>
          <w:szCs w:val="24"/>
          <w:lang w:eastAsia="el-GR"/>
        </w:rPr>
        <w:t xml:space="preserve"> το ποσοστό των επιχειρήσεων που έχουν αναστείλει τη λειτουργία τους με κρατική και έχουν καθυστερημένες οφειλές ενοικίου. Συγκεκριμένα</w:t>
      </w:r>
      <w:r w:rsidR="00170F96" w:rsidRPr="00E36734">
        <w:rPr>
          <w:rFonts w:ascii="Times New Roman" w:eastAsia="Times New Roman" w:hAnsi="Times New Roman" w:cs="Times New Roman"/>
          <w:sz w:val="24"/>
          <w:szCs w:val="24"/>
          <w:lang w:eastAsia="el-GR"/>
        </w:rPr>
        <w:t>,</w:t>
      </w:r>
      <w:r w:rsidR="009F6718" w:rsidRPr="00E36734">
        <w:rPr>
          <w:rFonts w:ascii="Times New Roman" w:eastAsia="Times New Roman" w:hAnsi="Times New Roman" w:cs="Times New Roman"/>
          <w:sz w:val="24"/>
          <w:szCs w:val="24"/>
          <w:lang w:eastAsia="el-GR"/>
        </w:rPr>
        <w:t xml:space="preserve"> </w:t>
      </w:r>
      <w:r w:rsidR="002827F0" w:rsidRPr="00E36734">
        <w:rPr>
          <w:rFonts w:ascii="Times New Roman" w:eastAsia="Times New Roman" w:hAnsi="Times New Roman" w:cs="Times New Roman"/>
          <w:sz w:val="24"/>
          <w:szCs w:val="24"/>
          <w:lang w:eastAsia="el-GR"/>
        </w:rPr>
        <w:t>το 28,6%</w:t>
      </w:r>
      <w:r w:rsidR="009F6718" w:rsidRPr="00E36734">
        <w:rPr>
          <w:rFonts w:ascii="Times New Roman" w:eastAsia="Times New Roman" w:hAnsi="Times New Roman" w:cs="Times New Roman"/>
          <w:sz w:val="24"/>
          <w:szCs w:val="24"/>
          <w:lang w:eastAsia="el-GR"/>
        </w:rPr>
        <w:t xml:space="preserve"> </w:t>
      </w:r>
      <w:r w:rsidR="002827F0" w:rsidRPr="00E36734">
        <w:rPr>
          <w:rFonts w:ascii="Times New Roman" w:eastAsia="Times New Roman" w:hAnsi="Times New Roman" w:cs="Times New Roman"/>
          <w:sz w:val="24"/>
          <w:szCs w:val="24"/>
          <w:lang w:eastAsia="el-GR"/>
        </w:rPr>
        <w:t>των επιχειρήσεων αυτών</w:t>
      </w:r>
      <w:r w:rsidR="009F6718" w:rsidRPr="00E36734">
        <w:rPr>
          <w:rFonts w:ascii="Times New Roman" w:eastAsia="Times New Roman" w:hAnsi="Times New Roman" w:cs="Times New Roman"/>
          <w:sz w:val="24"/>
          <w:szCs w:val="24"/>
          <w:lang w:eastAsia="el-GR"/>
        </w:rPr>
        <w:t xml:space="preserve"> έχουν καθυστερημένες οφειλές ενοικίου</w:t>
      </w:r>
      <w:r w:rsidR="002827F0" w:rsidRPr="00E36734">
        <w:rPr>
          <w:rFonts w:ascii="Times New Roman" w:eastAsia="Times New Roman" w:hAnsi="Times New Roman" w:cs="Times New Roman"/>
          <w:sz w:val="24"/>
          <w:szCs w:val="24"/>
          <w:lang w:eastAsia="el-GR"/>
        </w:rPr>
        <w:t xml:space="preserve"> κάτι που πιθανόν να οφείλεται στο γεγονός πως η πλήρης απαλλαγή ενοικίου υιοθετήθηκε του τελευταίους μήνες</w:t>
      </w:r>
      <w:r w:rsidR="009F6718" w:rsidRPr="00E36734">
        <w:rPr>
          <w:rFonts w:ascii="Times New Roman" w:eastAsia="Times New Roman" w:hAnsi="Times New Roman" w:cs="Times New Roman"/>
          <w:sz w:val="24"/>
          <w:szCs w:val="24"/>
          <w:lang w:eastAsia="el-GR"/>
        </w:rPr>
        <w:t xml:space="preserve">.  </w:t>
      </w:r>
      <w:r w:rsidR="00FF742A" w:rsidRPr="00E36734">
        <w:rPr>
          <w:rFonts w:ascii="Times New Roman" w:eastAsia="Times New Roman" w:hAnsi="Times New Roman" w:cs="Times New Roman"/>
          <w:sz w:val="24"/>
          <w:szCs w:val="24"/>
          <w:lang w:eastAsia="el-GR"/>
        </w:rPr>
        <w:t>Ανάλογη είναι η εικόνα και ως προς τις ληξιπρόθεσμες οφειλές προς το πρώην ΙΚΑ, όπου καταγράφεται μείωση των οφειλετών κατά 4 ποσοστιαίες μονάδες (14,9% από 18,6%) σε σύγκριση με την αντίστοιχη εξαμηνιαία έρευνα του Ιουλίου του 2020, κάτι που πιθανότατα οφείλεται στα μέτρα στήριξης της απασχόλησης που έχουν ληφθεί και στα οποία προβλέπεται πλήρης κάλυψη των ασφαλιστικών εισφορών των εργαζομένων από το Δημόσιο. Ωστόσο και σε αυτή την κατηγορία υποχρεώσεων το ποσοστό των επιχειρήσεων που έχει αναστείλει τη λειτουργία του και έχει ληξιπρόθεσμες οφειλές προς το πρώην ΙΚΑ είναι αυξημένο (21,5%).</w:t>
      </w:r>
    </w:p>
    <w:p w14:paraId="7461A2B3" w14:textId="77777777" w:rsidR="00FF742A" w:rsidRPr="00E36734" w:rsidRDefault="00FF742A" w:rsidP="0021116B">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Από την άλλη μεριά όπου δεν έχουν ληφθεί στοχευμένα ή επαρκή μέτρα στήριξης </w:t>
      </w:r>
      <w:r w:rsidR="0021116B" w:rsidRPr="00E36734">
        <w:rPr>
          <w:rFonts w:ascii="Times New Roman" w:eastAsia="Times New Roman" w:hAnsi="Times New Roman" w:cs="Times New Roman"/>
          <w:sz w:val="24"/>
          <w:szCs w:val="24"/>
          <w:lang w:eastAsia="el-GR"/>
        </w:rPr>
        <w:t>παρατηρούνται υψηλά ποσοστά</w:t>
      </w:r>
      <w:r w:rsidR="00AB1C80" w:rsidRPr="00E36734">
        <w:rPr>
          <w:rFonts w:ascii="Times New Roman" w:eastAsia="Times New Roman" w:hAnsi="Times New Roman" w:cs="Times New Roman"/>
          <w:sz w:val="24"/>
          <w:szCs w:val="24"/>
          <w:lang w:eastAsia="el-GR"/>
        </w:rPr>
        <w:t xml:space="preserve"> μικρών και πολύ μικρών επιχειρήσεων</w:t>
      </w:r>
      <w:r w:rsidR="0021116B" w:rsidRPr="00E36734">
        <w:rPr>
          <w:rFonts w:ascii="Times New Roman" w:eastAsia="Times New Roman" w:hAnsi="Times New Roman" w:cs="Times New Roman"/>
          <w:sz w:val="24"/>
          <w:szCs w:val="24"/>
          <w:lang w:eastAsia="el-GR"/>
        </w:rPr>
        <w:t xml:space="preserve"> που αδυνατούν να ανταπεξέλθουν στις υποχρεώσεις</w:t>
      </w:r>
      <w:r w:rsidR="00D00475" w:rsidRPr="00E36734">
        <w:rPr>
          <w:rFonts w:ascii="Times New Roman" w:eastAsia="Times New Roman" w:hAnsi="Times New Roman" w:cs="Times New Roman"/>
          <w:sz w:val="24"/>
          <w:szCs w:val="24"/>
          <w:lang w:eastAsia="el-GR"/>
        </w:rPr>
        <w:t xml:space="preserve"> τους</w:t>
      </w:r>
      <w:r w:rsidR="00AB1C80" w:rsidRPr="00E36734">
        <w:rPr>
          <w:rFonts w:ascii="Times New Roman" w:eastAsia="Times New Roman" w:hAnsi="Times New Roman" w:cs="Times New Roman"/>
          <w:sz w:val="24"/>
          <w:szCs w:val="24"/>
          <w:lang w:eastAsia="el-GR"/>
        </w:rPr>
        <w:t>.</w:t>
      </w:r>
    </w:p>
    <w:p w14:paraId="65AB6310" w14:textId="1C094590" w:rsidR="00121769" w:rsidRPr="00E36734" w:rsidRDefault="00FF742A" w:rsidP="0021116B">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Ειδικότερα</w:t>
      </w:r>
      <w:r w:rsidR="00170F96"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αυξημένα σε σχέση με την έρευνα του Ιουλίου του 2020 είναι τα ποσοστά των επιχειρήσεων που έχουν ληξιπρόθεσμες οφειλές προς τον πρώην ΟΑΕΕ</w:t>
      </w:r>
      <w:r w:rsidR="00AB1C80" w:rsidRPr="00E36734">
        <w:rPr>
          <w:rFonts w:ascii="Times New Roman" w:eastAsia="Times New Roman" w:hAnsi="Times New Roman" w:cs="Times New Roman"/>
          <w:sz w:val="24"/>
          <w:szCs w:val="24"/>
          <w:lang w:eastAsia="el-GR"/>
        </w:rPr>
        <w:t xml:space="preserve"> </w:t>
      </w:r>
      <w:r w:rsidRPr="00E36734">
        <w:rPr>
          <w:rFonts w:ascii="Times New Roman" w:eastAsia="Times New Roman" w:hAnsi="Times New Roman" w:cs="Times New Roman"/>
          <w:sz w:val="24"/>
          <w:szCs w:val="24"/>
          <w:lang w:eastAsia="el-GR"/>
        </w:rPr>
        <w:t xml:space="preserve">(26,3% έναντι 25,3%) και </w:t>
      </w:r>
      <w:r w:rsidR="00121769" w:rsidRPr="00E36734">
        <w:rPr>
          <w:rFonts w:ascii="Times New Roman" w:eastAsia="Times New Roman" w:hAnsi="Times New Roman" w:cs="Times New Roman"/>
          <w:sz w:val="24"/>
          <w:szCs w:val="24"/>
          <w:lang w:eastAsia="el-GR"/>
        </w:rPr>
        <w:t>για τις επιχειρήσεις που έχουν τραπεζικό δάνειο</w:t>
      </w:r>
      <w:r w:rsidRPr="00E36734">
        <w:rPr>
          <w:rFonts w:ascii="Times New Roman" w:eastAsia="Times New Roman" w:hAnsi="Times New Roman" w:cs="Times New Roman"/>
          <w:sz w:val="24"/>
          <w:szCs w:val="24"/>
          <w:lang w:eastAsia="el-GR"/>
        </w:rPr>
        <w:t xml:space="preserve"> (32,9% έναντι 29,2%). </w:t>
      </w:r>
      <w:r w:rsidR="00121769" w:rsidRPr="00E36734">
        <w:rPr>
          <w:rFonts w:ascii="Times New Roman" w:eastAsia="Times New Roman" w:hAnsi="Times New Roman" w:cs="Times New Roman"/>
          <w:sz w:val="24"/>
          <w:szCs w:val="24"/>
          <w:lang w:eastAsia="el-GR"/>
        </w:rPr>
        <w:t>Μάλιστα</w:t>
      </w:r>
      <w:r w:rsidR="00170F96" w:rsidRPr="00E36734">
        <w:rPr>
          <w:rFonts w:ascii="Times New Roman" w:eastAsia="Times New Roman" w:hAnsi="Times New Roman" w:cs="Times New Roman"/>
          <w:sz w:val="24"/>
          <w:szCs w:val="24"/>
          <w:lang w:eastAsia="el-GR"/>
        </w:rPr>
        <w:t>,</w:t>
      </w:r>
      <w:r w:rsidR="00121769" w:rsidRPr="00E36734">
        <w:rPr>
          <w:rFonts w:ascii="Times New Roman" w:eastAsia="Times New Roman" w:hAnsi="Times New Roman" w:cs="Times New Roman"/>
          <w:sz w:val="24"/>
          <w:szCs w:val="24"/>
          <w:lang w:eastAsia="el-GR"/>
        </w:rPr>
        <w:t xml:space="preserve"> τα ποσοστά αυτά εκτινάσσονται για τις επιχειρήσεις που έχουν αναστείλει τη λειτουργία τους με κρατική εντολή. Συγκεκριμένα το 37,2% των επιχειρήσεων αυτών έχουν ληξιπρόθεσμες οφειλές προς τον πρώην ΟΑΕΕ </w:t>
      </w:r>
      <w:r w:rsidR="005F6010" w:rsidRPr="00E36734">
        <w:rPr>
          <w:rFonts w:ascii="Times New Roman" w:eastAsia="Times New Roman" w:hAnsi="Times New Roman" w:cs="Times New Roman"/>
          <w:sz w:val="24"/>
          <w:szCs w:val="24"/>
          <w:lang w:eastAsia="el-GR"/>
        </w:rPr>
        <w:t xml:space="preserve">ενώ από τις επιχειρήσεις της κατηγορίας  που έχουν τραπεζικό δάνειο </w:t>
      </w:r>
      <w:r w:rsidR="00121769" w:rsidRPr="00E36734">
        <w:rPr>
          <w:rFonts w:ascii="Times New Roman" w:eastAsia="Times New Roman" w:hAnsi="Times New Roman" w:cs="Times New Roman"/>
          <w:sz w:val="24"/>
          <w:szCs w:val="24"/>
          <w:lang w:eastAsia="el-GR"/>
        </w:rPr>
        <w:t xml:space="preserve">το 45,2%  </w:t>
      </w:r>
      <w:r w:rsidR="005F6010" w:rsidRPr="00E36734">
        <w:rPr>
          <w:rFonts w:ascii="Times New Roman" w:eastAsia="Times New Roman" w:hAnsi="Times New Roman" w:cs="Times New Roman"/>
          <w:sz w:val="24"/>
          <w:szCs w:val="24"/>
          <w:lang w:eastAsia="el-GR"/>
        </w:rPr>
        <w:t>έχει ληξιπρόθεσμες οφειλές.</w:t>
      </w:r>
    </w:p>
    <w:p w14:paraId="251E5230" w14:textId="0EBB4215" w:rsidR="00AB1C80" w:rsidRPr="00E36734" w:rsidRDefault="00121769" w:rsidP="0021116B">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Επιπλέον, αν και μειωμένα, παραμένουν υψηλά τα ποσοστά ληξιπρόθεσμων οφειλών για όλες τις υπόλοιπες κατηγορίες. Συγκεκριμένα το 23,8% των επιχειρήσεων φαίνεται πως έχει ληξιπρόθεσμες </w:t>
      </w:r>
      <w:r w:rsidRPr="00E36734">
        <w:rPr>
          <w:rFonts w:ascii="Times New Roman" w:eastAsia="Times New Roman" w:hAnsi="Times New Roman" w:cs="Times New Roman"/>
          <w:sz w:val="24"/>
          <w:szCs w:val="24"/>
          <w:lang w:eastAsia="el-GR"/>
        </w:rPr>
        <w:lastRenderedPageBreak/>
        <w:t>οφειλές προς την εφορία, το  22,6% προς προμηθευτές, τους 20,5% σε λογαριασμούς ενέργειας και το 16,6% σε λοιπούς λογαριασμούς (πχ τηλέφωνο, ύδρευση)</w:t>
      </w:r>
      <w:r w:rsidR="005F6010" w:rsidRPr="00E36734">
        <w:rPr>
          <w:rFonts w:ascii="Times New Roman" w:eastAsia="Times New Roman" w:hAnsi="Times New Roman" w:cs="Times New Roman"/>
          <w:sz w:val="24"/>
          <w:szCs w:val="24"/>
          <w:lang w:eastAsia="el-GR"/>
        </w:rPr>
        <w:t>. Όσον αφορά τις επιχειρήσεις που έχουν αναστείλει τη λειτουργία τους με κρατική εντολή, το 33,5%</w:t>
      </w:r>
      <w:r w:rsidRPr="00E36734">
        <w:rPr>
          <w:rFonts w:ascii="Times New Roman" w:eastAsia="Times New Roman" w:hAnsi="Times New Roman" w:cs="Times New Roman"/>
          <w:sz w:val="24"/>
          <w:szCs w:val="24"/>
          <w:lang w:eastAsia="el-GR"/>
        </w:rPr>
        <w:t xml:space="preserve"> </w:t>
      </w:r>
      <w:r w:rsidR="005F6010" w:rsidRPr="00E36734">
        <w:rPr>
          <w:rFonts w:ascii="Times New Roman" w:eastAsia="Times New Roman" w:hAnsi="Times New Roman" w:cs="Times New Roman"/>
          <w:sz w:val="24"/>
          <w:szCs w:val="24"/>
          <w:lang w:eastAsia="el-GR"/>
        </w:rPr>
        <w:t xml:space="preserve">έχουν ληξιπρόθεσμες οφειλές προς την εφορία, το 34,6% προς προμηθευτές, το 29,3% σε λογαριασμούς ενέργειας και το 24,1% σε λοιπούς λογαριασμούς. </w:t>
      </w:r>
    </w:p>
    <w:p w14:paraId="40E2C698" w14:textId="482AB364" w:rsidR="002103D0" w:rsidRPr="00E36734" w:rsidRDefault="002103D0" w:rsidP="0021116B">
      <w:pPr>
        <w:spacing w:after="0" w:line="360" w:lineRule="auto"/>
        <w:jc w:val="both"/>
        <w:rPr>
          <w:rFonts w:ascii="Times New Roman" w:eastAsia="Times New Roman" w:hAnsi="Times New Roman" w:cs="Times New Roman"/>
          <w:sz w:val="24"/>
          <w:szCs w:val="24"/>
          <w:lang w:eastAsia="el-GR"/>
        </w:rPr>
      </w:pPr>
      <w:bookmarkStart w:id="21" w:name="_Hlk68599926"/>
      <w:r w:rsidRPr="00E36734">
        <w:rPr>
          <w:rFonts w:ascii="Times New Roman" w:eastAsia="Times New Roman" w:hAnsi="Times New Roman" w:cs="Times New Roman"/>
          <w:sz w:val="24"/>
          <w:szCs w:val="24"/>
          <w:lang w:eastAsia="el-GR"/>
        </w:rPr>
        <w:t xml:space="preserve">Γενικότερα, </w:t>
      </w:r>
      <w:bookmarkStart w:id="22" w:name="_Hlk68075697"/>
      <w:r w:rsidRPr="00E36734">
        <w:rPr>
          <w:rFonts w:ascii="Times New Roman" w:eastAsia="Times New Roman" w:hAnsi="Times New Roman" w:cs="Times New Roman"/>
          <w:sz w:val="24"/>
          <w:szCs w:val="24"/>
          <w:lang w:eastAsia="el-GR"/>
        </w:rPr>
        <w:t xml:space="preserve">σχεδόν 1 στις 2 επιχειρήσεις (46,4%) φαίνεται πως έχει τουλάχιστον 1 ληξιπρόθεσμη οφειλή, 1 στις </w:t>
      </w:r>
      <w:r w:rsidR="00B34346">
        <w:rPr>
          <w:rFonts w:ascii="Times New Roman" w:eastAsia="Times New Roman" w:hAnsi="Times New Roman" w:cs="Times New Roman"/>
          <w:sz w:val="24"/>
          <w:szCs w:val="24"/>
          <w:lang w:eastAsia="el-GR"/>
        </w:rPr>
        <w:t>5</w:t>
      </w:r>
      <w:r w:rsidRPr="00E36734">
        <w:rPr>
          <w:rFonts w:ascii="Times New Roman" w:eastAsia="Times New Roman" w:hAnsi="Times New Roman" w:cs="Times New Roman"/>
          <w:sz w:val="24"/>
          <w:szCs w:val="24"/>
          <w:lang w:eastAsia="el-GR"/>
        </w:rPr>
        <w:t xml:space="preserve"> επιχειρήσεις (21,6%) έχει ληξιπρόθεσμες οφειλές προς το Δημόσιο (εφορία και ασφαλιστικά ταμεία), ενώ επίσης 1 στις </w:t>
      </w:r>
      <w:r w:rsidR="00B34346">
        <w:rPr>
          <w:rFonts w:ascii="Times New Roman" w:eastAsia="Times New Roman" w:hAnsi="Times New Roman" w:cs="Times New Roman"/>
          <w:sz w:val="24"/>
          <w:szCs w:val="24"/>
          <w:lang w:eastAsia="el-GR"/>
        </w:rPr>
        <w:t>5</w:t>
      </w:r>
      <w:r w:rsidRPr="00E36734">
        <w:rPr>
          <w:rFonts w:ascii="Times New Roman" w:eastAsia="Times New Roman" w:hAnsi="Times New Roman" w:cs="Times New Roman"/>
          <w:sz w:val="24"/>
          <w:szCs w:val="24"/>
          <w:lang w:eastAsia="el-GR"/>
        </w:rPr>
        <w:t xml:space="preserve"> επιχειρήσεις (19,7%) έχει ληξιπρόθεσμες οφειλές στις μισές τουλάχιστον κατηγορίες υποχρεώσεων της έρευνας</w:t>
      </w:r>
      <w:bookmarkEnd w:id="21"/>
      <w:bookmarkEnd w:id="22"/>
      <w:r w:rsidRPr="00E36734">
        <w:rPr>
          <w:rFonts w:ascii="Times New Roman" w:eastAsia="Times New Roman" w:hAnsi="Times New Roman" w:cs="Times New Roman"/>
          <w:sz w:val="24"/>
          <w:szCs w:val="24"/>
          <w:lang w:eastAsia="el-GR"/>
        </w:rPr>
        <w:t xml:space="preserve">. Οι επιχειρήσεις αυτές που έχουν πολλαπλές οφειλές σε συνδυασμό με τους μειωμένους τζίρους και την έλλειψη ρευστότητας είναι εκείνες που φαίνεται πως αντιμετωπίζουν σοβαρά προβλήματα βιωσιμότητας.  </w:t>
      </w:r>
    </w:p>
    <w:p w14:paraId="2250C227" w14:textId="77777777" w:rsidR="002103D0" w:rsidRPr="00E36734" w:rsidRDefault="002103D0" w:rsidP="0021116B">
      <w:pPr>
        <w:spacing w:after="0" w:line="360" w:lineRule="auto"/>
        <w:jc w:val="both"/>
        <w:rPr>
          <w:rFonts w:ascii="Times New Roman" w:eastAsia="Times New Roman" w:hAnsi="Times New Roman" w:cs="Times New Roman"/>
          <w:sz w:val="24"/>
          <w:szCs w:val="24"/>
          <w:lang w:eastAsia="el-GR"/>
        </w:rPr>
      </w:pPr>
    </w:p>
    <w:p w14:paraId="780E278D" w14:textId="6F5422CB" w:rsidR="00E567EA" w:rsidRPr="00E36734" w:rsidRDefault="00982B33" w:rsidP="007E56A7">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Γράφημα 14</w:t>
      </w:r>
    </w:p>
    <w:p w14:paraId="6B079576" w14:textId="45CC8498" w:rsidR="00E567EA" w:rsidRPr="00E36734" w:rsidRDefault="00E567EA" w:rsidP="00E567EA">
      <w:pPr>
        <w:spacing w:after="0" w:line="360" w:lineRule="auto"/>
        <w:jc w:val="center"/>
        <w:rPr>
          <w:rFonts w:ascii="Times New Roman" w:eastAsia="Times New Roman" w:hAnsi="Times New Roman" w:cs="Times New Roman"/>
          <w:b/>
          <w:bCs/>
          <w:sz w:val="24"/>
          <w:szCs w:val="24"/>
          <w:lang w:eastAsia="el-GR"/>
        </w:rPr>
      </w:pPr>
      <w:bookmarkStart w:id="23" w:name="_Hlk67939272"/>
      <w:r w:rsidRPr="00E36734">
        <w:rPr>
          <w:rFonts w:ascii="Times New Roman" w:eastAsia="Times New Roman" w:hAnsi="Times New Roman" w:cs="Times New Roman"/>
          <w:b/>
          <w:bCs/>
          <w:sz w:val="24"/>
          <w:szCs w:val="24"/>
          <w:lang w:eastAsia="el-GR"/>
        </w:rPr>
        <w:t xml:space="preserve">Επιχειρήσεις που έχουν καθυστερημένες οφειλές </w:t>
      </w:r>
    </w:p>
    <w:p w14:paraId="1D2F3AF0" w14:textId="445C2576" w:rsidR="00AB1C80" w:rsidRPr="00E36734" w:rsidRDefault="00E567EA" w:rsidP="00E567EA">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 xml:space="preserve">ΣΥΓΚΡΙΤΙΚΟ ΓΡΑΦΗΜΑ </w:t>
      </w:r>
      <w:r w:rsidR="00DD7C9C" w:rsidRPr="00E36734">
        <w:rPr>
          <w:rFonts w:ascii="Times New Roman" w:eastAsia="Times New Roman" w:hAnsi="Times New Roman" w:cs="Times New Roman"/>
          <w:b/>
          <w:bCs/>
          <w:sz w:val="24"/>
          <w:szCs w:val="24"/>
          <w:lang w:eastAsia="el-GR"/>
        </w:rPr>
        <w:t>ΙΟΥΛΙΟΣ</w:t>
      </w:r>
      <w:r w:rsidRPr="00E36734">
        <w:rPr>
          <w:rFonts w:ascii="Times New Roman" w:eastAsia="Times New Roman" w:hAnsi="Times New Roman" w:cs="Times New Roman"/>
          <w:b/>
          <w:bCs/>
          <w:sz w:val="24"/>
          <w:szCs w:val="24"/>
          <w:lang w:eastAsia="el-GR"/>
        </w:rPr>
        <w:t xml:space="preserve"> 2020 –  ΦΕΒΡΟΥΑΡΙΟΣ 2021</w:t>
      </w:r>
    </w:p>
    <w:p w14:paraId="2DCC1EF6" w14:textId="7FB042D1" w:rsidR="00971CF2" w:rsidRPr="00E36734" w:rsidRDefault="00BA1D4B" w:rsidP="00E567EA">
      <w:pPr>
        <w:spacing w:after="0" w:line="360" w:lineRule="auto"/>
        <w:jc w:val="center"/>
        <w:rPr>
          <w:rFonts w:ascii="Times New Roman" w:eastAsia="Times New Roman" w:hAnsi="Times New Roman" w:cs="Times New Roman"/>
          <w:b/>
          <w:bCs/>
          <w:sz w:val="24"/>
          <w:szCs w:val="24"/>
          <w:lang w:eastAsia="el-GR"/>
        </w:rPr>
      </w:pPr>
      <w:r w:rsidRPr="00E36734">
        <w:rPr>
          <w:noProof/>
          <w:lang w:eastAsia="el-GR"/>
        </w:rPr>
        <mc:AlternateContent>
          <mc:Choice Requires="wps">
            <w:drawing>
              <wp:anchor distT="0" distB="0" distL="114300" distR="114300" simplePos="0" relativeHeight="251656192" behindDoc="0" locked="0" layoutInCell="1" allowOverlap="1" wp14:anchorId="5ECE61BE" wp14:editId="40BA256E">
                <wp:simplePos x="0" y="0"/>
                <wp:positionH relativeFrom="column">
                  <wp:posOffset>380365</wp:posOffset>
                </wp:positionH>
                <wp:positionV relativeFrom="paragraph">
                  <wp:posOffset>2667000</wp:posOffset>
                </wp:positionV>
                <wp:extent cx="4015740" cy="289560"/>
                <wp:effectExtent l="0" t="0" r="0" b="0"/>
                <wp:wrapNone/>
                <wp:docPr id="9" name="TextBox 8"/>
                <wp:cNvGraphicFramePr/>
                <a:graphic xmlns:a="http://schemas.openxmlformats.org/drawingml/2006/main">
                  <a:graphicData uri="http://schemas.microsoft.com/office/word/2010/wordprocessingShape">
                    <wps:wsp>
                      <wps:cNvSpPr txBox="1"/>
                      <wps:spPr>
                        <a:xfrm>
                          <a:off x="0" y="0"/>
                          <a:ext cx="4015740" cy="289560"/>
                        </a:xfrm>
                        <a:prstGeom prst="rect">
                          <a:avLst/>
                        </a:prstGeom>
                        <a:noFill/>
                      </wps:spPr>
                      <wps:txbx>
                        <w:txbxContent>
                          <w:p w14:paraId="07E0C355" w14:textId="77777777" w:rsidR="00C83512" w:rsidRPr="00246CED" w:rsidRDefault="00C83512" w:rsidP="00246CED">
                            <w:pPr>
                              <w:textAlignment w:val="baseline"/>
                              <w:rPr>
                                <w:rFonts w:ascii="Microsoft JhengHei UI" w:eastAsia="Microsoft JhengHei UI" w:hAnsi="Microsoft JhengHei UI" w:cs="Microsoft Sans Serif"/>
                                <w:b/>
                                <w:bCs/>
                                <w:i/>
                                <w:iCs/>
                                <w:color w:val="000000"/>
                                <w:kern w:val="24"/>
                                <w:sz w:val="14"/>
                                <w:szCs w:val="14"/>
                              </w:rPr>
                            </w:pPr>
                            <w:r w:rsidRPr="00246CED">
                              <w:rPr>
                                <w:rFonts w:ascii="Microsoft JhengHei UI" w:eastAsia="Microsoft JhengHei UI" w:hAnsi="Microsoft JhengHei UI" w:cs="Microsoft Sans Serif" w:hint="eastAsia"/>
                                <w:b/>
                                <w:bCs/>
                                <w:i/>
                                <w:iCs/>
                                <w:color w:val="000000"/>
                                <w:kern w:val="24"/>
                                <w:sz w:val="14"/>
                                <w:szCs w:val="14"/>
                              </w:rPr>
                              <w:t>* Βάση: όσοι είπαν ότι έχουν ενοίκιο, αμειβόμενο προσωπικό και δάνειο αντίστοιχα</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CE61BE" id="TextBox 8" o:spid="_x0000_s1027" type="#_x0000_t202" style="position:absolute;left:0;text-align:left;margin-left:29.95pt;margin-top:210pt;width:316.2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" filled="f" stroked="f">
                <v:textbox>
                  <w:txbxContent>
                    <w:p w14:paraId="07E0C355" w14:textId="77777777" w:rsidR="00C83512" w:rsidRPr="00246CED" w:rsidRDefault="00C83512" w:rsidP="00246CED">
                      <w:pPr>
                        <w:textAlignment w:val="baseline"/>
                        <w:rPr>
                          <w:rFonts w:ascii="Microsoft JhengHei UI" w:eastAsia="Microsoft JhengHei UI" w:hAnsi="Microsoft JhengHei UI" w:cs="Microsoft Sans Serif"/>
                          <w:b/>
                          <w:bCs/>
                          <w:i/>
                          <w:iCs/>
                          <w:color w:val="000000"/>
                          <w:kern w:val="24"/>
                          <w:sz w:val="14"/>
                          <w:szCs w:val="14"/>
                        </w:rPr>
                      </w:pPr>
                      <w:r w:rsidRPr="00246CED">
                        <w:rPr>
                          <w:rFonts w:ascii="Microsoft JhengHei UI" w:eastAsia="Microsoft JhengHei UI" w:hAnsi="Microsoft JhengHei UI" w:cs="Microsoft Sans Serif" w:hint="eastAsia"/>
                          <w:b/>
                          <w:bCs/>
                          <w:i/>
                          <w:iCs/>
                          <w:color w:val="000000"/>
                          <w:kern w:val="24"/>
                          <w:sz w:val="14"/>
                          <w:szCs w:val="14"/>
                        </w:rPr>
                        <w:t>* Βάση: όσοι είπαν ότι έχουν ενοίκιο, αμειβόμενο προσωπικό και δάνειο αντίστοιχα</w:t>
                      </w:r>
                    </w:p>
                  </w:txbxContent>
                </v:textbox>
              </v:shape>
            </w:pict>
          </mc:Fallback>
        </mc:AlternateContent>
      </w:r>
      <w:r w:rsidR="00971CF2" w:rsidRPr="00E36734">
        <w:rPr>
          <w:rFonts w:ascii="Times New Roman" w:eastAsia="Times New Roman" w:hAnsi="Times New Roman" w:cs="Times New Roman"/>
          <w:b/>
          <w:bCs/>
          <w:noProof/>
          <w:sz w:val="16"/>
          <w:szCs w:val="16"/>
          <w:lang w:eastAsia="el-GR"/>
        </w:rPr>
        <w:drawing>
          <wp:inline distT="0" distB="0" distL="0" distR="0" wp14:anchorId="00649FF0" wp14:editId="280036A0">
            <wp:extent cx="6570980" cy="3055620"/>
            <wp:effectExtent l="0" t="0" r="1270" b="11430"/>
            <wp:docPr id="11"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bookmarkEnd w:id="23"/>
    <w:p w14:paraId="6B261B45" w14:textId="5B46A26C" w:rsidR="00993DDC" w:rsidRPr="00E36734" w:rsidRDefault="008B6EB3"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Ως προς τις εκτιμήσεις των επιχειρήσεων</w:t>
      </w:r>
      <w:r w:rsidR="00702E6E" w:rsidRPr="00E36734">
        <w:rPr>
          <w:rFonts w:ascii="Times New Roman" w:eastAsia="Times New Roman" w:hAnsi="Times New Roman" w:cs="Times New Roman"/>
          <w:sz w:val="24"/>
          <w:szCs w:val="24"/>
          <w:lang w:eastAsia="el-GR"/>
        </w:rPr>
        <w:t xml:space="preserve"> (Γράφημα</w:t>
      </w:r>
      <w:r w:rsidR="002103D0" w:rsidRPr="00E36734">
        <w:rPr>
          <w:rFonts w:ascii="Times New Roman" w:eastAsia="Times New Roman" w:hAnsi="Times New Roman" w:cs="Times New Roman"/>
          <w:sz w:val="24"/>
          <w:szCs w:val="24"/>
          <w:lang w:eastAsia="el-GR"/>
        </w:rPr>
        <w:t xml:space="preserve"> </w:t>
      </w:r>
      <w:r w:rsidR="00982B33" w:rsidRPr="00E36734">
        <w:rPr>
          <w:rFonts w:ascii="Times New Roman" w:eastAsia="Times New Roman" w:hAnsi="Times New Roman" w:cs="Times New Roman"/>
          <w:sz w:val="24"/>
          <w:szCs w:val="24"/>
          <w:lang w:eastAsia="el-GR"/>
        </w:rPr>
        <w:t>15</w:t>
      </w:r>
      <w:r w:rsidR="00702E6E"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για το επόμενο διάστημα η κατάσταση προδιαγράφεται </w:t>
      </w:r>
      <w:r w:rsidR="002103D0" w:rsidRPr="00E36734">
        <w:rPr>
          <w:rFonts w:ascii="Times New Roman" w:eastAsia="Times New Roman" w:hAnsi="Times New Roman" w:cs="Times New Roman"/>
          <w:sz w:val="24"/>
          <w:szCs w:val="24"/>
          <w:lang w:eastAsia="el-GR"/>
        </w:rPr>
        <w:t xml:space="preserve">ιδιαίτερα </w:t>
      </w:r>
      <w:r w:rsidRPr="00E36734">
        <w:rPr>
          <w:rFonts w:ascii="Times New Roman" w:eastAsia="Times New Roman" w:hAnsi="Times New Roman" w:cs="Times New Roman"/>
          <w:sz w:val="24"/>
          <w:szCs w:val="24"/>
          <w:lang w:eastAsia="el-GR"/>
        </w:rPr>
        <w:t>δυσοίωνη</w:t>
      </w:r>
      <w:r w:rsidR="002103D0" w:rsidRPr="00E36734">
        <w:rPr>
          <w:rFonts w:ascii="Times New Roman" w:eastAsia="Times New Roman" w:hAnsi="Times New Roman" w:cs="Times New Roman"/>
          <w:sz w:val="24"/>
          <w:szCs w:val="24"/>
          <w:lang w:eastAsia="el-GR"/>
        </w:rPr>
        <w:t xml:space="preserve">. Τα ποσοστά των επιχειρήσεων που εκτιμούν πως δεν θα μπορέσουν να ανταποκριθούν στις υποχρεώσεις το επόμενο διάστημα παρουσιάζουν σημαντική αύξηση σε όλες τις κατηγορίες υποχρεώσεων σε </w:t>
      </w:r>
      <w:r w:rsidR="00993DDC" w:rsidRPr="00E36734">
        <w:rPr>
          <w:rFonts w:ascii="Times New Roman" w:eastAsia="Times New Roman" w:hAnsi="Times New Roman" w:cs="Times New Roman"/>
          <w:sz w:val="24"/>
          <w:szCs w:val="24"/>
          <w:lang w:eastAsia="el-GR"/>
        </w:rPr>
        <w:t>σύγκριση</w:t>
      </w:r>
      <w:r w:rsidR="002103D0" w:rsidRPr="00E36734">
        <w:rPr>
          <w:rFonts w:ascii="Times New Roman" w:eastAsia="Times New Roman" w:hAnsi="Times New Roman" w:cs="Times New Roman"/>
          <w:sz w:val="24"/>
          <w:szCs w:val="24"/>
          <w:lang w:eastAsia="el-GR"/>
        </w:rPr>
        <w:t xml:space="preserve"> με την αντίστοιχη εξαμηνιαία έρευνα του Ιουλίου του 2020</w:t>
      </w:r>
      <w:r w:rsidR="00993DDC" w:rsidRPr="00E36734">
        <w:rPr>
          <w:rFonts w:ascii="Times New Roman" w:eastAsia="Times New Roman" w:hAnsi="Times New Roman" w:cs="Times New Roman"/>
          <w:sz w:val="24"/>
          <w:szCs w:val="24"/>
          <w:lang w:eastAsia="el-GR"/>
        </w:rPr>
        <w:t xml:space="preserve"> που κυμαίνεται από 6 μέχρι 20 ποσοστιαίες μονάδες</w:t>
      </w:r>
      <w:r w:rsidR="002103D0"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w:t>
      </w:r>
    </w:p>
    <w:p w14:paraId="310B5048" w14:textId="4C36B7AA" w:rsidR="00FE6286" w:rsidRPr="00E36734" w:rsidRDefault="00993DDC"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Συγκεκριμένα, περίπου </w:t>
      </w:r>
      <w:bookmarkStart w:id="24" w:name="_Hlk68075567"/>
      <w:r w:rsidRPr="00E36734">
        <w:rPr>
          <w:rFonts w:ascii="Times New Roman" w:eastAsia="Times New Roman" w:hAnsi="Times New Roman" w:cs="Times New Roman"/>
          <w:sz w:val="24"/>
          <w:szCs w:val="24"/>
          <w:lang w:eastAsia="el-GR"/>
        </w:rPr>
        <w:t xml:space="preserve">1 στις 3 επιχειρήσεις </w:t>
      </w:r>
      <w:r w:rsidR="00FE6286" w:rsidRPr="00E36734">
        <w:rPr>
          <w:rFonts w:ascii="Times New Roman" w:eastAsia="Times New Roman" w:hAnsi="Times New Roman" w:cs="Times New Roman"/>
          <w:sz w:val="24"/>
          <w:szCs w:val="24"/>
          <w:lang w:eastAsia="el-GR"/>
        </w:rPr>
        <w:t>δήλωσε πως δεν θα μπορέσει να ανταποκριθεί:</w:t>
      </w:r>
    </w:p>
    <w:p w14:paraId="346AC049" w14:textId="485AF065" w:rsidR="00993DDC" w:rsidRPr="00E36734" w:rsidRDefault="00993DDC" w:rsidP="007E56A7">
      <w:pPr>
        <w:pStyle w:val="a5"/>
        <w:numPr>
          <w:ilvl w:val="0"/>
          <w:numId w:val="2"/>
        </w:numPr>
        <w:spacing w:after="0" w:line="360" w:lineRule="auto"/>
        <w:rPr>
          <w:rFonts w:ascii="Times New Roman" w:eastAsia="Times New Roman" w:hAnsi="Times New Roman" w:cs="Times New Roman"/>
          <w:sz w:val="24"/>
          <w:szCs w:val="24"/>
          <w:lang w:eastAsia="el-GR"/>
        </w:rPr>
      </w:pPr>
      <w:bookmarkStart w:id="25" w:name="_Hlk67988038"/>
      <w:r w:rsidRPr="00E36734">
        <w:rPr>
          <w:rFonts w:ascii="Times New Roman" w:eastAsia="Times New Roman" w:hAnsi="Times New Roman" w:cs="Times New Roman"/>
          <w:sz w:val="24"/>
          <w:szCs w:val="24"/>
          <w:lang w:eastAsia="el-GR"/>
        </w:rPr>
        <w:t>στις ασφαλιστικές της υποχρεώσεις (31,3% προς τον πρώην ΟΑΕΕ και 24,2% προς το ΙΚΑ)</w:t>
      </w:r>
    </w:p>
    <w:bookmarkEnd w:id="25"/>
    <w:p w14:paraId="506C80C2" w14:textId="0804F407" w:rsidR="00993DDC" w:rsidRPr="00E36734" w:rsidRDefault="00993DDC" w:rsidP="007E56A7">
      <w:pPr>
        <w:pStyle w:val="a5"/>
        <w:numPr>
          <w:ilvl w:val="0"/>
          <w:numId w:val="2"/>
        </w:numPr>
        <w:spacing w:after="0" w:line="360" w:lineRule="auto"/>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lastRenderedPageBreak/>
        <w:t>στις φορολογικές της υποχρεώσεις (30,1%)</w:t>
      </w:r>
    </w:p>
    <w:p w14:paraId="47FC3D53" w14:textId="7E02CDA1" w:rsidR="00993DDC" w:rsidRPr="00E36734" w:rsidRDefault="00993DDC" w:rsidP="007E56A7">
      <w:pPr>
        <w:pStyle w:val="a5"/>
        <w:numPr>
          <w:ilvl w:val="0"/>
          <w:numId w:val="2"/>
        </w:num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υποχρεώσεις ενοικίου (35,2%)</w:t>
      </w:r>
    </w:p>
    <w:p w14:paraId="4C9796B1" w14:textId="3A9BAAD8" w:rsidR="00993DDC" w:rsidRPr="00E36734" w:rsidRDefault="00993DDC" w:rsidP="007E56A7">
      <w:pPr>
        <w:spacing w:after="0" w:line="360" w:lineRule="auto"/>
        <w:jc w:val="both"/>
        <w:rPr>
          <w:rFonts w:ascii="Times New Roman" w:eastAsia="Times New Roman" w:hAnsi="Times New Roman" w:cs="Times New Roman"/>
          <w:sz w:val="24"/>
          <w:szCs w:val="24"/>
          <w:lang w:eastAsia="el-GR"/>
        </w:rPr>
      </w:pPr>
      <w:bookmarkStart w:id="26" w:name="_Hlk68075610"/>
      <w:bookmarkEnd w:id="24"/>
      <w:r w:rsidRPr="00E36734">
        <w:rPr>
          <w:rFonts w:ascii="Times New Roman" w:eastAsia="Times New Roman" w:hAnsi="Times New Roman" w:cs="Times New Roman"/>
          <w:sz w:val="24"/>
          <w:szCs w:val="24"/>
          <w:lang w:eastAsia="el-GR"/>
        </w:rPr>
        <w:t>Περίπου 1 στις 4 επιχειρήσεις δήλωσε πως δεν θα μπορέσει να ανταποκριθεί:</w:t>
      </w:r>
    </w:p>
    <w:p w14:paraId="51BC0E0F" w14:textId="2873EEE4" w:rsidR="00993DDC" w:rsidRPr="00E36734" w:rsidRDefault="00993DDC" w:rsidP="007E56A7">
      <w:pPr>
        <w:pStyle w:val="a5"/>
        <w:numPr>
          <w:ilvl w:val="0"/>
          <w:numId w:val="2"/>
        </w:numPr>
        <w:spacing w:after="0" w:line="360" w:lineRule="auto"/>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υποχρεώσεις προς προμηθευτές (26,6%)</w:t>
      </w:r>
    </w:p>
    <w:p w14:paraId="4F1DAF25" w14:textId="554B82EC" w:rsidR="00993DDC" w:rsidRPr="00E36734" w:rsidRDefault="00993DDC" w:rsidP="007E56A7">
      <w:pPr>
        <w:pStyle w:val="a5"/>
        <w:numPr>
          <w:ilvl w:val="0"/>
          <w:numId w:val="2"/>
        </w:numPr>
        <w:spacing w:after="0" w:line="360" w:lineRule="auto"/>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υποχρεώσεις για λογαριασμούς ενέργειας (26,3%) και λοιπούς λογαριασμούς (25,1%)</w:t>
      </w:r>
    </w:p>
    <w:p w14:paraId="62DD90D1" w14:textId="4D9EC399" w:rsidR="00993DDC" w:rsidRPr="00E36734" w:rsidRDefault="00993DDC"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Σχεδόν 1 στις 2 (44,6%) από τις επιχειρήσεις που έχουν τραπεζικό δάνειο δήλωσε πως δεν θα μπορέσει να ανταποκριθεί στις υποχρεώσεις του το επόμενο διάστημα.</w:t>
      </w:r>
    </w:p>
    <w:bookmarkEnd w:id="26"/>
    <w:p w14:paraId="5EC2A9F5" w14:textId="499ED85C" w:rsidR="00993DDC" w:rsidRPr="00E36734" w:rsidRDefault="00993DDC"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Όσον αφορά τις επιχειρήσεις που έχουν αναστείλει τη λειτουργία τους με κρατική εντολή οι προοπτικές </w:t>
      </w:r>
      <w:r w:rsidR="00697011" w:rsidRPr="00E36734">
        <w:rPr>
          <w:rFonts w:ascii="Times New Roman" w:eastAsia="Times New Roman" w:hAnsi="Times New Roman" w:cs="Times New Roman"/>
          <w:sz w:val="24"/>
          <w:szCs w:val="24"/>
          <w:lang w:eastAsia="el-GR"/>
        </w:rPr>
        <w:t>φαίνονται</w:t>
      </w:r>
      <w:r w:rsidRPr="00E36734">
        <w:rPr>
          <w:rFonts w:ascii="Times New Roman" w:eastAsia="Times New Roman" w:hAnsi="Times New Roman" w:cs="Times New Roman"/>
          <w:sz w:val="24"/>
          <w:szCs w:val="24"/>
          <w:lang w:eastAsia="el-GR"/>
        </w:rPr>
        <w:t xml:space="preserve"> περισσότερο </w:t>
      </w:r>
      <w:r w:rsidR="00697011" w:rsidRPr="00E36734">
        <w:rPr>
          <w:rFonts w:ascii="Times New Roman" w:eastAsia="Times New Roman" w:hAnsi="Times New Roman" w:cs="Times New Roman"/>
          <w:sz w:val="24"/>
          <w:szCs w:val="24"/>
          <w:lang w:eastAsia="el-GR"/>
        </w:rPr>
        <w:t xml:space="preserve">δυσοίωνες. </w:t>
      </w:r>
    </w:p>
    <w:p w14:paraId="6DDF0F58" w14:textId="5E10B2E8" w:rsidR="00697011" w:rsidRPr="00E36734" w:rsidRDefault="00697011"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Συγκεκριμένα περίπου 1 στις 2 από τις επιχειρήσεις που έχουν αναστείλει τη λειτουργία τους με κρατική εντολή δηλώνει πως δεν θα μπορέσει να ανταποκριθεί</w:t>
      </w:r>
      <w:r w:rsidRPr="00E36734">
        <w:t xml:space="preserve"> </w:t>
      </w:r>
      <w:r w:rsidRPr="00E36734">
        <w:rPr>
          <w:rFonts w:ascii="Times New Roman" w:eastAsia="Times New Roman" w:hAnsi="Times New Roman" w:cs="Times New Roman"/>
          <w:sz w:val="24"/>
          <w:szCs w:val="24"/>
          <w:lang w:eastAsia="el-GR"/>
        </w:rPr>
        <w:t xml:space="preserve"> στις υποχρεώσεις ενοικίου (49,6%).</w:t>
      </w:r>
    </w:p>
    <w:p w14:paraId="0EEB94A2" w14:textId="46C068BE" w:rsidR="00697011" w:rsidRPr="00E36734" w:rsidRDefault="00697011"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Περισσότερες από </w:t>
      </w:r>
      <w:r w:rsidR="00730A63" w:rsidRPr="00E36734">
        <w:rPr>
          <w:rFonts w:ascii="Times New Roman" w:eastAsia="Times New Roman" w:hAnsi="Times New Roman" w:cs="Times New Roman"/>
          <w:sz w:val="24"/>
          <w:szCs w:val="24"/>
          <w:lang w:eastAsia="el-GR"/>
        </w:rPr>
        <w:t>2</w:t>
      </w:r>
      <w:r w:rsidRPr="00E36734">
        <w:rPr>
          <w:rFonts w:ascii="Times New Roman" w:eastAsia="Times New Roman" w:hAnsi="Times New Roman" w:cs="Times New Roman"/>
          <w:sz w:val="24"/>
          <w:szCs w:val="24"/>
          <w:lang w:eastAsia="el-GR"/>
        </w:rPr>
        <w:t xml:space="preserve"> στις </w:t>
      </w:r>
      <w:r w:rsidR="00730A63" w:rsidRPr="00E36734">
        <w:rPr>
          <w:rFonts w:ascii="Times New Roman" w:eastAsia="Times New Roman" w:hAnsi="Times New Roman" w:cs="Times New Roman"/>
          <w:sz w:val="24"/>
          <w:szCs w:val="24"/>
          <w:lang w:eastAsia="el-GR"/>
        </w:rPr>
        <w:t>5</w:t>
      </w:r>
      <w:r w:rsidRPr="00E36734">
        <w:rPr>
          <w:rFonts w:ascii="Times New Roman" w:eastAsia="Times New Roman" w:hAnsi="Times New Roman" w:cs="Times New Roman"/>
          <w:sz w:val="24"/>
          <w:szCs w:val="24"/>
          <w:lang w:eastAsia="el-GR"/>
        </w:rPr>
        <w:t xml:space="preserve"> </w:t>
      </w:r>
      <w:r w:rsidR="00730A63" w:rsidRPr="00E36734">
        <w:rPr>
          <w:rFonts w:ascii="Times New Roman" w:eastAsia="Times New Roman" w:hAnsi="Times New Roman" w:cs="Times New Roman"/>
          <w:sz w:val="24"/>
          <w:szCs w:val="24"/>
          <w:lang w:eastAsia="el-GR"/>
        </w:rPr>
        <w:t>επιχειρήσεις σε αναστολή λειτουργίας δηλώνουν πως δεν θα μπορέσουν να ανταποκριθούν:</w:t>
      </w:r>
    </w:p>
    <w:p w14:paraId="71D4C0A0" w14:textId="2C859E50" w:rsidR="00730A63" w:rsidRPr="00E36734" w:rsidRDefault="00730A63" w:rsidP="007E56A7">
      <w:pPr>
        <w:pStyle w:val="a5"/>
        <w:numPr>
          <w:ilvl w:val="0"/>
          <w:numId w:val="13"/>
        </w:num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ασφαλιστικές της υποχρεώσεις (42,4% προς τον πρώην ΟΑΕΕ και 31,7% προς το ΙΚΑ)</w:t>
      </w:r>
    </w:p>
    <w:p w14:paraId="0178682F" w14:textId="28EB39F6" w:rsidR="00730A63" w:rsidRPr="00E36734" w:rsidRDefault="00730A63" w:rsidP="007E56A7">
      <w:pPr>
        <w:pStyle w:val="a5"/>
        <w:numPr>
          <w:ilvl w:val="0"/>
          <w:numId w:val="13"/>
        </w:num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φορολογικές της υποχρεώσεις (42,4%)</w:t>
      </w:r>
    </w:p>
    <w:p w14:paraId="41AC5A7A" w14:textId="64684352" w:rsidR="00697011" w:rsidRPr="00E36734" w:rsidRDefault="00697011" w:rsidP="007E56A7">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Περίπου 1 στις 3 δηλώνει πως δεν θα μπορέσει να ανταποκριθεί : </w:t>
      </w:r>
    </w:p>
    <w:p w14:paraId="0529D8F3" w14:textId="575B4B65" w:rsidR="00697011" w:rsidRPr="00E36734" w:rsidRDefault="00697011" w:rsidP="007E56A7">
      <w:pPr>
        <w:pStyle w:val="a5"/>
        <w:numPr>
          <w:ilvl w:val="0"/>
          <w:numId w:val="13"/>
        </w:numPr>
        <w:spacing w:after="0" w:line="360" w:lineRule="auto"/>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υποχρεώσεις προς προμηθευτές (36,6%)</w:t>
      </w:r>
    </w:p>
    <w:p w14:paraId="2D907930" w14:textId="06A864A6" w:rsidR="00697011" w:rsidRPr="00E36734" w:rsidRDefault="00697011" w:rsidP="007E56A7">
      <w:pPr>
        <w:pStyle w:val="a5"/>
        <w:numPr>
          <w:ilvl w:val="0"/>
          <w:numId w:val="13"/>
        </w:num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στις υποχρεώσεις για λογαριασμούς ενέργειας (35,6%) και λοιπούς λογαριασμούς (35,1%)</w:t>
      </w:r>
    </w:p>
    <w:p w14:paraId="3D529F48" w14:textId="4A1A4702" w:rsidR="00993DDC" w:rsidRPr="00E36734" w:rsidRDefault="00697011" w:rsidP="00993DDC">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Περισσότερες από 1 στις 2 (54,8%) από τις επιχειρήσεις που έχουν αναστείλει τη λειτουργία τους με κρατική εντολή και έχουν τραπεζικό δάνειο δήλωσε πως δεν θα μπορέσει να ανταποκριθεί στις υποχρεώσεις του το επόμενο διάστημα.</w:t>
      </w:r>
    </w:p>
    <w:p w14:paraId="660E076C" w14:textId="3725D536" w:rsidR="00C9318F" w:rsidRPr="00E36734" w:rsidRDefault="00982B33" w:rsidP="007E56A7">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15</w:t>
      </w:r>
    </w:p>
    <w:p w14:paraId="7A5FDF0E" w14:textId="682208D9" w:rsidR="00C703E3" w:rsidRPr="00E36734" w:rsidRDefault="00BA1D4B" w:rsidP="002103D0">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 xml:space="preserve">Επιχειρήσεις που εκτιμούν πως </w:t>
      </w:r>
      <w:r w:rsidRPr="00E36734">
        <w:rPr>
          <w:rFonts w:ascii="Times New Roman" w:eastAsia="Times New Roman" w:hAnsi="Times New Roman" w:cs="Times New Roman"/>
          <w:b/>
          <w:bCs/>
          <w:sz w:val="24"/>
          <w:szCs w:val="24"/>
          <w:u w:val="single"/>
          <w:lang w:eastAsia="el-GR"/>
        </w:rPr>
        <w:t>δεν</w:t>
      </w:r>
      <w:r w:rsidRPr="00E36734">
        <w:rPr>
          <w:rFonts w:ascii="Times New Roman" w:eastAsia="Times New Roman" w:hAnsi="Times New Roman" w:cs="Times New Roman"/>
          <w:b/>
          <w:bCs/>
          <w:sz w:val="24"/>
          <w:szCs w:val="24"/>
          <w:lang w:eastAsia="el-GR"/>
        </w:rPr>
        <w:t xml:space="preserve"> θα μπορέσουν να ανταποκριθούν στις υποχρεώσεις </w:t>
      </w:r>
      <w:r w:rsidR="00C703E3" w:rsidRPr="00E36734">
        <w:rPr>
          <w:rFonts w:ascii="Times New Roman" w:eastAsia="Times New Roman" w:hAnsi="Times New Roman" w:cs="Times New Roman"/>
          <w:b/>
          <w:bCs/>
          <w:sz w:val="24"/>
          <w:szCs w:val="24"/>
          <w:lang w:eastAsia="el-GR"/>
        </w:rPr>
        <w:t>τους</w:t>
      </w:r>
    </w:p>
    <w:p w14:paraId="6FD23DB4" w14:textId="58CC075D" w:rsidR="00BA1D4B" w:rsidRPr="00E36734" w:rsidRDefault="00BA1D4B" w:rsidP="00BA1D4B">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t xml:space="preserve">ΣΥΓΚΡΙΤΙΚΟ ΓΡΑΦΗΜΑ </w:t>
      </w:r>
      <w:r w:rsidR="0024372F" w:rsidRPr="00E36734">
        <w:rPr>
          <w:rFonts w:ascii="Times New Roman" w:eastAsia="Times New Roman" w:hAnsi="Times New Roman" w:cs="Times New Roman"/>
          <w:b/>
          <w:bCs/>
          <w:sz w:val="24"/>
          <w:szCs w:val="24"/>
          <w:lang w:eastAsia="el-GR"/>
        </w:rPr>
        <w:t>ΙΟΥΛΙΟΣ</w:t>
      </w:r>
      <w:r w:rsidRPr="00E36734">
        <w:rPr>
          <w:rFonts w:ascii="Times New Roman" w:eastAsia="Times New Roman" w:hAnsi="Times New Roman" w:cs="Times New Roman"/>
          <w:b/>
          <w:bCs/>
          <w:sz w:val="24"/>
          <w:szCs w:val="24"/>
          <w:lang w:eastAsia="el-GR"/>
        </w:rPr>
        <w:t xml:space="preserve"> 2020 –  ΦΕΒΡΟΥΑΡΙΟΣ 2021</w:t>
      </w:r>
    </w:p>
    <w:p w14:paraId="6F96176D" w14:textId="77777777" w:rsidR="00BA1D4B" w:rsidRPr="00E36734" w:rsidRDefault="00BA1D4B" w:rsidP="00BA1D4B">
      <w:pPr>
        <w:spacing w:after="0" w:line="360" w:lineRule="auto"/>
        <w:jc w:val="center"/>
        <w:rPr>
          <w:rFonts w:ascii="Times New Roman" w:eastAsia="Times New Roman" w:hAnsi="Times New Roman" w:cs="Times New Roman"/>
          <w:b/>
          <w:bCs/>
          <w:sz w:val="24"/>
          <w:szCs w:val="24"/>
          <w:lang w:eastAsia="el-GR"/>
        </w:rPr>
      </w:pPr>
      <w:r w:rsidRPr="00E36734">
        <w:rPr>
          <w:noProof/>
          <w:lang w:eastAsia="el-GR"/>
        </w:rPr>
        <mc:AlternateContent>
          <mc:Choice Requires="wps">
            <w:drawing>
              <wp:anchor distT="0" distB="0" distL="114300" distR="114300" simplePos="0" relativeHeight="251659264" behindDoc="0" locked="0" layoutInCell="1" allowOverlap="1" wp14:anchorId="638FAE15" wp14:editId="76F037BF">
                <wp:simplePos x="0" y="0"/>
                <wp:positionH relativeFrom="column">
                  <wp:posOffset>189865</wp:posOffset>
                </wp:positionH>
                <wp:positionV relativeFrom="paragraph">
                  <wp:posOffset>2186940</wp:posOffset>
                </wp:positionV>
                <wp:extent cx="4015740" cy="289560"/>
                <wp:effectExtent l="0" t="0" r="0" b="0"/>
                <wp:wrapNone/>
                <wp:docPr id="10" name="TextBox 8"/>
                <wp:cNvGraphicFramePr/>
                <a:graphic xmlns:a="http://schemas.openxmlformats.org/drawingml/2006/main">
                  <a:graphicData uri="http://schemas.microsoft.com/office/word/2010/wordprocessingShape">
                    <wps:wsp>
                      <wps:cNvSpPr txBox="1"/>
                      <wps:spPr>
                        <a:xfrm>
                          <a:off x="0" y="0"/>
                          <a:ext cx="4015740" cy="289560"/>
                        </a:xfrm>
                        <a:prstGeom prst="rect">
                          <a:avLst/>
                        </a:prstGeom>
                        <a:noFill/>
                      </wps:spPr>
                      <wps:txbx>
                        <w:txbxContent>
                          <w:p w14:paraId="4AE15E1C" w14:textId="77777777" w:rsidR="00C83512" w:rsidRPr="00246CED" w:rsidRDefault="00C83512" w:rsidP="00BA1D4B">
                            <w:pPr>
                              <w:textAlignment w:val="baseline"/>
                              <w:rPr>
                                <w:rFonts w:ascii="Microsoft JhengHei UI" w:eastAsia="Microsoft JhengHei UI" w:hAnsi="Microsoft JhengHei UI" w:cs="Microsoft Sans Serif"/>
                                <w:b/>
                                <w:bCs/>
                                <w:i/>
                                <w:iCs/>
                                <w:color w:val="000000"/>
                                <w:kern w:val="24"/>
                                <w:sz w:val="14"/>
                                <w:szCs w:val="14"/>
                              </w:rPr>
                            </w:pPr>
                            <w:r w:rsidRPr="00246CED">
                              <w:rPr>
                                <w:rFonts w:ascii="Microsoft JhengHei UI" w:eastAsia="Microsoft JhengHei UI" w:hAnsi="Microsoft JhengHei UI" w:cs="Microsoft Sans Serif" w:hint="eastAsia"/>
                                <w:b/>
                                <w:bCs/>
                                <w:i/>
                                <w:iCs/>
                                <w:color w:val="000000"/>
                                <w:kern w:val="24"/>
                                <w:sz w:val="14"/>
                                <w:szCs w:val="14"/>
                              </w:rPr>
                              <w:t>* Βάση: όσοι είπαν ότι έχουν ενοίκιο, αμειβόμενο προσωπικό και δάνειο αντίστοιχα</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38FAE15" id="_x0000_s1028" type="#_x0000_t202" style="position:absolute;left:0;text-align:left;margin-left:14.95pt;margin-top:172.2pt;width:316.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" filled="f" stroked="f">
                <v:textbox>
                  <w:txbxContent>
                    <w:p w14:paraId="4AE15E1C" w14:textId="77777777" w:rsidR="00C83512" w:rsidRPr="00246CED" w:rsidRDefault="00C83512" w:rsidP="00BA1D4B">
                      <w:pPr>
                        <w:textAlignment w:val="baseline"/>
                        <w:rPr>
                          <w:rFonts w:ascii="Microsoft JhengHei UI" w:eastAsia="Microsoft JhengHei UI" w:hAnsi="Microsoft JhengHei UI" w:cs="Microsoft Sans Serif"/>
                          <w:b/>
                          <w:bCs/>
                          <w:i/>
                          <w:iCs/>
                          <w:color w:val="000000"/>
                          <w:kern w:val="24"/>
                          <w:sz w:val="14"/>
                          <w:szCs w:val="14"/>
                        </w:rPr>
                      </w:pPr>
                      <w:r w:rsidRPr="00246CED">
                        <w:rPr>
                          <w:rFonts w:ascii="Microsoft JhengHei UI" w:eastAsia="Microsoft JhengHei UI" w:hAnsi="Microsoft JhengHei UI" w:cs="Microsoft Sans Serif" w:hint="eastAsia"/>
                          <w:b/>
                          <w:bCs/>
                          <w:i/>
                          <w:iCs/>
                          <w:color w:val="000000"/>
                          <w:kern w:val="24"/>
                          <w:sz w:val="14"/>
                          <w:szCs w:val="14"/>
                        </w:rPr>
                        <w:t>* Βάση: όσοι είπαν ότι έχουν ενοίκιο, αμειβόμενο προσωπικό και δάνειο αντίστοιχα</w:t>
                      </w:r>
                    </w:p>
                  </w:txbxContent>
                </v:textbox>
              </v:shape>
            </w:pict>
          </mc:Fallback>
        </mc:AlternateContent>
      </w:r>
      <w:r w:rsidRPr="00E36734">
        <w:rPr>
          <w:rFonts w:ascii="Times New Roman" w:eastAsia="Times New Roman" w:hAnsi="Times New Roman" w:cs="Times New Roman"/>
          <w:b/>
          <w:bCs/>
          <w:noProof/>
          <w:sz w:val="16"/>
          <w:szCs w:val="16"/>
          <w:lang w:eastAsia="el-GR"/>
        </w:rPr>
        <w:drawing>
          <wp:inline distT="0" distB="0" distL="0" distR="0" wp14:anchorId="6361137E" wp14:editId="036DA34D">
            <wp:extent cx="6570980" cy="2392680"/>
            <wp:effectExtent l="0" t="0" r="1270" b="7620"/>
            <wp:docPr id="14" name="Γράφημα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FA713F" w14:textId="62279CB2" w:rsidR="000A34B1" w:rsidRPr="00E36734" w:rsidRDefault="000A34B1" w:rsidP="00761263">
      <w:pPr>
        <w:spacing w:after="0" w:line="360" w:lineRule="auto"/>
        <w:jc w:val="both"/>
        <w:rPr>
          <w:rFonts w:ascii="Times New Roman" w:eastAsia="Times New Roman" w:hAnsi="Times New Roman" w:cs="Times New Roman"/>
          <w:b/>
          <w:sz w:val="24"/>
          <w:szCs w:val="24"/>
          <w:u w:val="single"/>
          <w:lang w:eastAsia="el-GR"/>
        </w:rPr>
      </w:pPr>
      <w:r w:rsidRPr="00E36734">
        <w:rPr>
          <w:rFonts w:ascii="Times New Roman" w:eastAsia="Times New Roman" w:hAnsi="Times New Roman" w:cs="Times New Roman"/>
          <w:b/>
          <w:sz w:val="24"/>
          <w:szCs w:val="24"/>
          <w:u w:val="single"/>
          <w:lang w:eastAsia="el-GR"/>
        </w:rPr>
        <w:lastRenderedPageBreak/>
        <w:t>Βιωσιμότητα επιχειρήσεων</w:t>
      </w:r>
    </w:p>
    <w:p w14:paraId="4BD74811" w14:textId="6AF2A84A" w:rsidR="008B6EB3" w:rsidRPr="00E36734" w:rsidRDefault="00A3079C"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Η επιδείνωση που η πλειοψηφία των επιχειρήσεων παρουσιάζει στην οικονομική του κατάσταση, ιδίως στην σοβαρή μείωση τόσο του κύκλου εργασιών όσο και της ρευστότητας</w:t>
      </w:r>
      <w:r w:rsidR="007E56A7" w:rsidRPr="00E36734">
        <w:rPr>
          <w:rFonts w:ascii="Times New Roman" w:eastAsia="Times New Roman" w:hAnsi="Times New Roman" w:cs="Times New Roman"/>
          <w:sz w:val="24"/>
          <w:szCs w:val="24"/>
          <w:lang w:eastAsia="el-GR"/>
        </w:rPr>
        <w:t>,</w:t>
      </w:r>
      <w:r w:rsidRPr="00E36734">
        <w:rPr>
          <w:rFonts w:ascii="Times New Roman" w:eastAsia="Times New Roman" w:hAnsi="Times New Roman" w:cs="Times New Roman"/>
          <w:sz w:val="24"/>
          <w:szCs w:val="24"/>
          <w:lang w:eastAsia="el-GR"/>
        </w:rPr>
        <w:t xml:space="preserve"> που φαίνεται πως έχει οδηγήσει ένα μεγάλο ποσοστό σε υπερχρέωση, αποτυπώνεται και στα ευρήματα για την βιωσιμότητα των μικρών και πολύ μικρών επιχειρήσεων. Όπως φαίνεται στο Γράφημα</w:t>
      </w:r>
      <w:r w:rsidR="00B63BE3" w:rsidRPr="00E36734">
        <w:rPr>
          <w:rFonts w:ascii="Times New Roman" w:eastAsia="Times New Roman" w:hAnsi="Times New Roman" w:cs="Times New Roman"/>
          <w:sz w:val="24"/>
          <w:szCs w:val="24"/>
          <w:lang w:eastAsia="el-GR"/>
        </w:rPr>
        <w:t xml:space="preserve"> 16</w:t>
      </w:r>
      <w:r w:rsidRPr="00E36734">
        <w:rPr>
          <w:rFonts w:ascii="Times New Roman" w:eastAsia="Times New Roman" w:hAnsi="Times New Roman" w:cs="Times New Roman"/>
          <w:sz w:val="24"/>
          <w:szCs w:val="24"/>
          <w:lang w:eastAsia="el-GR"/>
        </w:rPr>
        <w:t xml:space="preserve"> το ποσοστό των επιχειρήσεων που εκφράζουν το φόβο ενδεχόμενης διακοπής της δραστηριότητας τους το επόμενο διάστημα αυξάνεται. Έχει μάλιστα σχεδόν διπλασιαστεί σε σύγκριση με την αντίστοιχη έρευνα του Φεβρουάριο του 2020, δηλαδή λίγο πριν την εκδήλωση της υγειονομικής κρίσης. Συγκεκριμένα σχεδόν </w:t>
      </w:r>
      <w:bookmarkStart w:id="27" w:name="_Hlk68075912"/>
      <w:r w:rsidRPr="00E36734">
        <w:rPr>
          <w:rFonts w:ascii="Times New Roman" w:eastAsia="Times New Roman" w:hAnsi="Times New Roman" w:cs="Times New Roman"/>
          <w:sz w:val="24"/>
          <w:szCs w:val="24"/>
          <w:lang w:eastAsia="el-GR"/>
        </w:rPr>
        <w:t xml:space="preserve">4 στις 10 </w:t>
      </w:r>
      <w:r w:rsidR="00A1401D" w:rsidRPr="00E36734">
        <w:rPr>
          <w:rFonts w:ascii="Times New Roman" w:eastAsia="Times New Roman" w:hAnsi="Times New Roman" w:cs="Times New Roman"/>
          <w:sz w:val="24"/>
          <w:szCs w:val="24"/>
          <w:lang w:eastAsia="el-GR"/>
        </w:rPr>
        <w:t xml:space="preserve">(38,2%) </w:t>
      </w:r>
      <w:r w:rsidRPr="00E36734">
        <w:rPr>
          <w:rFonts w:ascii="Times New Roman" w:eastAsia="Times New Roman" w:hAnsi="Times New Roman" w:cs="Times New Roman"/>
          <w:sz w:val="24"/>
          <w:szCs w:val="24"/>
          <w:lang w:eastAsia="el-GR"/>
        </w:rPr>
        <w:t xml:space="preserve">επιχειρήσεις εκφράζουν το κίνδυνο να </w:t>
      </w:r>
      <w:r w:rsidR="00A1401D" w:rsidRPr="00E36734">
        <w:rPr>
          <w:rFonts w:ascii="Times New Roman" w:eastAsia="Times New Roman" w:hAnsi="Times New Roman" w:cs="Times New Roman"/>
          <w:sz w:val="24"/>
          <w:szCs w:val="24"/>
          <w:lang w:eastAsia="el-GR"/>
        </w:rPr>
        <w:t>διακόψουν την δραστηριότητα τους το επόμενο διάστημα.</w:t>
      </w:r>
      <w:bookmarkEnd w:id="27"/>
      <w:r w:rsidR="00A1401D" w:rsidRPr="00E36734">
        <w:rPr>
          <w:rFonts w:ascii="Times New Roman" w:eastAsia="Times New Roman" w:hAnsi="Times New Roman" w:cs="Times New Roman"/>
          <w:sz w:val="24"/>
          <w:szCs w:val="24"/>
          <w:lang w:eastAsia="el-GR"/>
        </w:rPr>
        <w:t xml:space="preserve"> </w:t>
      </w:r>
    </w:p>
    <w:p w14:paraId="6BF64CC3" w14:textId="77777777" w:rsidR="00117974" w:rsidRPr="00E36734" w:rsidRDefault="00117974"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hAnsi="Times New Roman" w:cs="Times New Roman"/>
          <w:noProof/>
          <w:sz w:val="24"/>
          <w:szCs w:val="24"/>
          <w:lang w:eastAsia="el-GR"/>
        </w:rPr>
        <w:drawing>
          <wp:inline distT="0" distB="0" distL="0" distR="0" wp14:anchorId="4942C58A" wp14:editId="09DAFE5F">
            <wp:extent cx="6391275" cy="3870960"/>
            <wp:effectExtent l="0" t="0" r="9525" b="15240"/>
            <wp:docPr id="22" name="Γράφημα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34E3EB" w14:textId="3E1D687A" w:rsidR="00487FB4" w:rsidRPr="00E36734" w:rsidRDefault="00487FB4" w:rsidP="00487FB4">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Ειδικότερα το 14,6% των επιχειρήσεων δηλώνει πολύ πιθανό να διακόψει τη δραστηρι</w:t>
      </w:r>
      <w:r w:rsidR="00B63BE3" w:rsidRPr="00E36734">
        <w:rPr>
          <w:rFonts w:ascii="Times New Roman" w:eastAsia="Times New Roman" w:hAnsi="Times New Roman" w:cs="Times New Roman"/>
          <w:sz w:val="24"/>
          <w:szCs w:val="24"/>
          <w:lang w:eastAsia="el-GR"/>
        </w:rPr>
        <w:t xml:space="preserve">ότητα του το επόμενο διάστημα, </w:t>
      </w:r>
      <w:r w:rsidRPr="00E36734">
        <w:rPr>
          <w:rFonts w:ascii="Times New Roman" w:eastAsia="Times New Roman" w:hAnsi="Times New Roman" w:cs="Times New Roman"/>
          <w:sz w:val="24"/>
          <w:szCs w:val="24"/>
          <w:lang w:eastAsia="el-GR"/>
        </w:rPr>
        <w:t>το 23,6% αρκετά πιθανό, ενώ το 20,7% δηλώνει ελάχιστα πιθανό</w:t>
      </w:r>
      <w:r w:rsidR="00B63BE3" w:rsidRPr="00E36734">
        <w:rPr>
          <w:rFonts w:ascii="Times New Roman" w:eastAsia="Times New Roman" w:hAnsi="Times New Roman" w:cs="Times New Roman"/>
          <w:sz w:val="24"/>
          <w:szCs w:val="24"/>
          <w:lang w:eastAsia="el-GR"/>
        </w:rPr>
        <w:t xml:space="preserve"> και το 38,2% καθόλου πιθανό. </w:t>
      </w:r>
      <w:r w:rsidRPr="00E36734">
        <w:rPr>
          <w:rFonts w:ascii="Times New Roman" w:eastAsia="Times New Roman" w:hAnsi="Times New Roman" w:cs="Times New Roman"/>
          <w:sz w:val="24"/>
          <w:szCs w:val="24"/>
          <w:lang w:eastAsia="el-GR"/>
        </w:rPr>
        <w:t xml:space="preserve">Από τις επιχειρήσεις που δηλώνουν πολύ ή αρκετά πιθανό να κλείσουν το επόμενο διάστημα το 15,7% εκφράζει το φόβο ότι αυτό θα επέλθει το επόμενο τρίμηνο το 43,8% το επόμενο εξάμηνο και 35,3% αργότερα. </w:t>
      </w:r>
    </w:p>
    <w:p w14:paraId="62EBC7DA" w14:textId="11B98B6F" w:rsidR="008B6EB3" w:rsidRPr="00E36734" w:rsidRDefault="000A34B1" w:rsidP="00761263">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sz w:val="24"/>
          <w:szCs w:val="24"/>
          <w:lang w:eastAsia="el-GR"/>
        </w:rPr>
        <w:t xml:space="preserve">Στα επιμέρους στοιχεία </w:t>
      </w:r>
      <w:r w:rsidR="00487FB4" w:rsidRPr="00E36734">
        <w:rPr>
          <w:rFonts w:ascii="Times New Roman" w:eastAsia="Times New Roman" w:hAnsi="Times New Roman" w:cs="Times New Roman"/>
          <w:sz w:val="24"/>
          <w:szCs w:val="24"/>
          <w:lang w:eastAsia="el-GR"/>
        </w:rPr>
        <w:t xml:space="preserve">της έρευνας </w:t>
      </w:r>
      <w:r w:rsidRPr="00E36734">
        <w:rPr>
          <w:rFonts w:ascii="Times New Roman" w:eastAsia="Times New Roman" w:hAnsi="Times New Roman" w:cs="Times New Roman"/>
          <w:sz w:val="24"/>
          <w:szCs w:val="24"/>
          <w:lang w:eastAsia="el-GR"/>
        </w:rPr>
        <w:t xml:space="preserve">τα μεγαλύτερα ποσοστά </w:t>
      </w:r>
      <w:r w:rsidR="00487FB4" w:rsidRPr="00E36734">
        <w:rPr>
          <w:rFonts w:ascii="Times New Roman" w:eastAsia="Times New Roman" w:hAnsi="Times New Roman" w:cs="Times New Roman"/>
          <w:sz w:val="24"/>
          <w:szCs w:val="24"/>
          <w:lang w:eastAsia="el-GR"/>
        </w:rPr>
        <w:t>καταγράφονται</w:t>
      </w:r>
      <w:r w:rsidRPr="00E36734">
        <w:rPr>
          <w:rFonts w:ascii="Times New Roman" w:eastAsia="Times New Roman" w:hAnsi="Times New Roman" w:cs="Times New Roman"/>
          <w:sz w:val="24"/>
          <w:szCs w:val="24"/>
          <w:lang w:eastAsia="el-GR"/>
        </w:rPr>
        <w:t xml:space="preserve"> </w:t>
      </w:r>
      <w:r w:rsidR="00487FB4" w:rsidRPr="00E36734">
        <w:rPr>
          <w:rFonts w:ascii="Times New Roman" w:eastAsia="Times New Roman" w:hAnsi="Times New Roman" w:cs="Times New Roman"/>
          <w:sz w:val="24"/>
          <w:szCs w:val="24"/>
          <w:lang w:eastAsia="el-GR"/>
        </w:rPr>
        <w:t>στις υπηρεσίες</w:t>
      </w:r>
      <w:r w:rsidRPr="00E36734">
        <w:rPr>
          <w:rFonts w:ascii="Times New Roman" w:eastAsia="Times New Roman" w:hAnsi="Times New Roman" w:cs="Times New Roman"/>
          <w:sz w:val="24"/>
          <w:szCs w:val="24"/>
          <w:lang w:eastAsia="el-GR"/>
        </w:rPr>
        <w:t xml:space="preserve"> (</w:t>
      </w:r>
      <w:r w:rsidR="00487FB4" w:rsidRPr="00E36734">
        <w:rPr>
          <w:rFonts w:ascii="Times New Roman" w:eastAsia="Times New Roman" w:hAnsi="Times New Roman" w:cs="Times New Roman"/>
          <w:sz w:val="24"/>
          <w:szCs w:val="24"/>
          <w:lang w:eastAsia="el-GR"/>
        </w:rPr>
        <w:t>40,2%</w:t>
      </w:r>
      <w:r w:rsidRPr="00E36734">
        <w:rPr>
          <w:rFonts w:ascii="Times New Roman" w:eastAsia="Times New Roman" w:hAnsi="Times New Roman" w:cs="Times New Roman"/>
          <w:sz w:val="24"/>
          <w:szCs w:val="24"/>
          <w:lang w:eastAsia="el-GR"/>
        </w:rPr>
        <w:t xml:space="preserve">), στις </w:t>
      </w:r>
      <w:r w:rsidR="00487FB4" w:rsidRPr="00E36734">
        <w:rPr>
          <w:rFonts w:ascii="Times New Roman" w:eastAsia="Times New Roman" w:hAnsi="Times New Roman" w:cs="Times New Roman"/>
          <w:sz w:val="24"/>
          <w:szCs w:val="24"/>
          <w:lang w:eastAsia="el-GR"/>
        </w:rPr>
        <w:t>επιχειρήσεις με τζίρο κάτω από 50.000 €</w:t>
      </w:r>
      <w:r w:rsidR="00856E24" w:rsidRPr="00E36734">
        <w:rPr>
          <w:rFonts w:ascii="Times New Roman" w:eastAsia="Times New Roman" w:hAnsi="Times New Roman" w:cs="Times New Roman"/>
          <w:sz w:val="24"/>
          <w:szCs w:val="24"/>
          <w:lang w:eastAsia="el-GR"/>
        </w:rPr>
        <w:t xml:space="preserve">  (</w:t>
      </w:r>
      <w:r w:rsidR="00487FB4" w:rsidRPr="00E36734">
        <w:rPr>
          <w:rFonts w:ascii="Times New Roman" w:eastAsia="Times New Roman" w:hAnsi="Times New Roman" w:cs="Times New Roman"/>
          <w:sz w:val="24"/>
          <w:szCs w:val="24"/>
          <w:lang w:eastAsia="el-GR"/>
        </w:rPr>
        <w:t>49,3</w:t>
      </w:r>
      <w:r w:rsidRPr="00E36734">
        <w:rPr>
          <w:rFonts w:ascii="Times New Roman" w:eastAsia="Times New Roman" w:hAnsi="Times New Roman" w:cs="Times New Roman"/>
          <w:sz w:val="24"/>
          <w:szCs w:val="24"/>
          <w:lang w:eastAsia="el-GR"/>
        </w:rPr>
        <w:t>%) και στις επ</w:t>
      </w:r>
      <w:r w:rsidR="00856E24" w:rsidRPr="00E36734">
        <w:rPr>
          <w:rFonts w:ascii="Times New Roman" w:eastAsia="Times New Roman" w:hAnsi="Times New Roman" w:cs="Times New Roman"/>
          <w:sz w:val="24"/>
          <w:szCs w:val="24"/>
          <w:lang w:eastAsia="el-GR"/>
        </w:rPr>
        <w:t>ιχειρήσεις χωρίς προσωπικό (</w:t>
      </w:r>
      <w:r w:rsidR="00487FB4" w:rsidRPr="00E36734">
        <w:rPr>
          <w:rFonts w:ascii="Times New Roman" w:eastAsia="Times New Roman" w:hAnsi="Times New Roman" w:cs="Times New Roman"/>
          <w:sz w:val="24"/>
          <w:szCs w:val="24"/>
          <w:lang w:eastAsia="el-GR"/>
        </w:rPr>
        <w:t>50,7</w:t>
      </w:r>
      <w:r w:rsidRPr="00E36734">
        <w:rPr>
          <w:rFonts w:ascii="Times New Roman" w:eastAsia="Times New Roman" w:hAnsi="Times New Roman" w:cs="Times New Roman"/>
          <w:sz w:val="24"/>
          <w:szCs w:val="24"/>
          <w:lang w:eastAsia="el-GR"/>
        </w:rPr>
        <w:t>%).</w:t>
      </w:r>
    </w:p>
    <w:p w14:paraId="1F697872" w14:textId="0E4DF873" w:rsidR="007E56A7" w:rsidRPr="00E36734" w:rsidRDefault="007E56A7" w:rsidP="007E56A7">
      <w:pPr>
        <w:spacing w:after="0" w:line="360" w:lineRule="auto"/>
        <w:jc w:val="center"/>
        <w:rPr>
          <w:rFonts w:ascii="Times New Roman" w:eastAsia="Times New Roman" w:hAnsi="Times New Roman" w:cs="Times New Roman"/>
          <w:b/>
          <w:bCs/>
          <w:sz w:val="24"/>
          <w:szCs w:val="24"/>
          <w:lang w:eastAsia="el-GR"/>
        </w:rPr>
      </w:pPr>
    </w:p>
    <w:p w14:paraId="6040FDF6" w14:textId="77777777" w:rsidR="008D6CAD" w:rsidRPr="00E36734" w:rsidRDefault="008D6CAD" w:rsidP="007E56A7">
      <w:pPr>
        <w:spacing w:after="0" w:line="360" w:lineRule="auto"/>
        <w:jc w:val="center"/>
        <w:rPr>
          <w:rFonts w:ascii="Times New Roman" w:eastAsia="Times New Roman" w:hAnsi="Times New Roman" w:cs="Times New Roman"/>
          <w:b/>
          <w:bCs/>
          <w:sz w:val="24"/>
          <w:szCs w:val="24"/>
          <w:lang w:eastAsia="el-GR"/>
        </w:rPr>
      </w:pPr>
    </w:p>
    <w:p w14:paraId="0A5EEF82" w14:textId="34BFAB2A" w:rsidR="00143079" w:rsidRPr="00E36734" w:rsidRDefault="00B63BE3" w:rsidP="007E56A7">
      <w:pPr>
        <w:spacing w:after="0" w:line="360" w:lineRule="auto"/>
        <w:jc w:val="center"/>
        <w:rPr>
          <w:rFonts w:ascii="Times New Roman" w:eastAsia="Times New Roman" w:hAnsi="Times New Roman" w:cs="Times New Roman"/>
          <w:b/>
          <w:bCs/>
          <w:sz w:val="24"/>
          <w:szCs w:val="24"/>
          <w:lang w:eastAsia="el-GR"/>
        </w:rPr>
      </w:pPr>
      <w:r w:rsidRPr="00E36734">
        <w:rPr>
          <w:rFonts w:ascii="Times New Roman" w:eastAsia="Times New Roman" w:hAnsi="Times New Roman" w:cs="Times New Roman"/>
          <w:b/>
          <w:bCs/>
          <w:sz w:val="24"/>
          <w:szCs w:val="24"/>
          <w:lang w:eastAsia="el-GR"/>
        </w:rPr>
        <w:lastRenderedPageBreak/>
        <w:t>Γράφημα 17</w:t>
      </w:r>
    </w:p>
    <w:p w14:paraId="26DCD840" w14:textId="1F6BC3E6" w:rsidR="00344F20" w:rsidRPr="00E36734" w:rsidRDefault="00344F20" w:rsidP="00344F20">
      <w:pPr>
        <w:spacing w:after="0" w:line="360" w:lineRule="auto"/>
        <w:jc w:val="center"/>
        <w:rPr>
          <w:rFonts w:ascii="Times New Roman" w:eastAsia="Times New Roman" w:hAnsi="Times New Roman" w:cs="Times New Roman"/>
          <w:b/>
          <w:bCs/>
          <w:lang w:eastAsia="el-GR"/>
        </w:rPr>
      </w:pPr>
      <w:r w:rsidRPr="00E36734">
        <w:rPr>
          <w:rFonts w:ascii="Times New Roman" w:eastAsia="Times New Roman" w:hAnsi="Times New Roman" w:cs="Times New Roman"/>
          <w:b/>
          <w:bCs/>
          <w:lang w:eastAsia="el-GR"/>
        </w:rPr>
        <w:t>Με τις υπάρχουσες σήμερα συνθήκες και με τις προοπτικές όπως διαμορφώνονται, θεωρείτε πιθανό ή όχι το</w:t>
      </w:r>
      <w:r w:rsidR="007E56A7" w:rsidRPr="00E36734">
        <w:rPr>
          <w:rFonts w:ascii="Times New Roman" w:eastAsia="Times New Roman" w:hAnsi="Times New Roman" w:cs="Times New Roman"/>
          <w:b/>
          <w:bCs/>
          <w:lang w:eastAsia="el-GR"/>
        </w:rPr>
        <w:t xml:space="preserve"> </w:t>
      </w:r>
      <w:r w:rsidRPr="00E36734">
        <w:rPr>
          <w:rFonts w:ascii="Times New Roman" w:eastAsia="Times New Roman" w:hAnsi="Times New Roman" w:cs="Times New Roman"/>
          <w:b/>
          <w:bCs/>
          <w:lang w:eastAsia="el-GR"/>
        </w:rPr>
        <w:t>ενδεχόμενο η επιχείρησή σας να έχει σοβαρό πρόβλημα λειτουργίας το επόμενο διάστημα σε βαθμό που θα κινδυνεύει να κλείσει;</w:t>
      </w:r>
    </w:p>
    <w:p w14:paraId="4968653B" w14:textId="1FCCCF10" w:rsidR="00344F20" w:rsidRPr="00E36734" w:rsidRDefault="00344F20" w:rsidP="00143079">
      <w:pPr>
        <w:spacing w:after="0" w:line="360" w:lineRule="auto"/>
        <w:jc w:val="both"/>
        <w:rPr>
          <w:rFonts w:ascii="Times New Roman" w:eastAsia="Times New Roman" w:hAnsi="Times New Roman" w:cs="Times New Roman"/>
          <w:sz w:val="24"/>
          <w:szCs w:val="24"/>
          <w:lang w:eastAsia="el-GR"/>
        </w:rPr>
      </w:pPr>
      <w:r w:rsidRPr="00E36734">
        <w:rPr>
          <w:rFonts w:ascii="Times New Roman" w:eastAsia="Times New Roman" w:hAnsi="Times New Roman" w:cs="Times New Roman"/>
          <w:noProof/>
          <w:sz w:val="24"/>
          <w:szCs w:val="24"/>
          <w:lang w:eastAsia="el-GR"/>
        </w:rPr>
        <w:drawing>
          <wp:inline distT="0" distB="0" distL="0" distR="0" wp14:anchorId="0F306A7D" wp14:editId="2C9D8C09">
            <wp:extent cx="6570980" cy="2567940"/>
            <wp:effectExtent l="0" t="0" r="1270" b="381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FE2AB76" w14:textId="77777777" w:rsidR="00CC546C" w:rsidRPr="00E36734" w:rsidRDefault="00CC546C" w:rsidP="00143079">
      <w:pPr>
        <w:spacing w:after="0" w:line="360" w:lineRule="auto"/>
        <w:jc w:val="both"/>
        <w:rPr>
          <w:rFonts w:ascii="Times New Roman" w:eastAsia="Times New Roman" w:hAnsi="Times New Roman" w:cs="Times New Roman"/>
          <w:bCs/>
          <w:sz w:val="24"/>
          <w:szCs w:val="24"/>
          <w:lang w:eastAsia="el-GR"/>
        </w:rPr>
      </w:pPr>
    </w:p>
    <w:p w14:paraId="499CA621" w14:textId="5AA465CF" w:rsidR="00344F20" w:rsidRPr="00E36734" w:rsidRDefault="00E31104" w:rsidP="0014307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Εξαιρετικά </w:t>
      </w:r>
      <w:r w:rsidR="00E445BB" w:rsidRPr="00E36734">
        <w:rPr>
          <w:rFonts w:ascii="Times New Roman" w:eastAsia="Times New Roman" w:hAnsi="Times New Roman" w:cs="Times New Roman"/>
          <w:bCs/>
          <w:sz w:val="24"/>
          <w:szCs w:val="24"/>
          <w:lang w:eastAsia="el-GR"/>
        </w:rPr>
        <w:t>δυσοίωνη</w:t>
      </w:r>
      <w:r w:rsidRPr="00E36734">
        <w:rPr>
          <w:rFonts w:ascii="Times New Roman" w:eastAsia="Times New Roman" w:hAnsi="Times New Roman" w:cs="Times New Roman"/>
          <w:bCs/>
          <w:sz w:val="24"/>
          <w:szCs w:val="24"/>
          <w:lang w:eastAsia="el-GR"/>
        </w:rPr>
        <w:t xml:space="preserve"> φαίνεται η </w:t>
      </w:r>
      <w:r w:rsidR="00E445BB" w:rsidRPr="00E36734">
        <w:rPr>
          <w:rFonts w:ascii="Times New Roman" w:eastAsia="Times New Roman" w:hAnsi="Times New Roman" w:cs="Times New Roman"/>
          <w:bCs/>
          <w:sz w:val="24"/>
          <w:szCs w:val="24"/>
          <w:lang w:eastAsia="el-GR"/>
        </w:rPr>
        <w:t>κατάσταση</w:t>
      </w:r>
      <w:r w:rsidRPr="00E36734">
        <w:rPr>
          <w:rFonts w:ascii="Times New Roman" w:eastAsia="Times New Roman" w:hAnsi="Times New Roman" w:cs="Times New Roman"/>
          <w:bCs/>
          <w:sz w:val="24"/>
          <w:szCs w:val="24"/>
          <w:lang w:eastAsia="el-GR"/>
        </w:rPr>
        <w:t xml:space="preserve"> ως προς τη βιωσιμότητα </w:t>
      </w:r>
      <w:r w:rsidR="00E445BB" w:rsidRPr="00E36734">
        <w:rPr>
          <w:rFonts w:ascii="Times New Roman" w:eastAsia="Times New Roman" w:hAnsi="Times New Roman" w:cs="Times New Roman"/>
          <w:bCs/>
          <w:sz w:val="24"/>
          <w:szCs w:val="24"/>
          <w:lang w:eastAsia="el-GR"/>
        </w:rPr>
        <w:t>των</w:t>
      </w:r>
      <w:r w:rsidRPr="00E36734">
        <w:rPr>
          <w:rFonts w:ascii="Times New Roman" w:eastAsia="Times New Roman" w:hAnsi="Times New Roman" w:cs="Times New Roman"/>
          <w:bCs/>
          <w:sz w:val="24"/>
          <w:szCs w:val="24"/>
          <w:lang w:eastAsia="el-GR"/>
        </w:rPr>
        <w:t xml:space="preserve"> </w:t>
      </w:r>
      <w:r w:rsidR="00E445BB" w:rsidRPr="00E36734">
        <w:rPr>
          <w:rFonts w:ascii="Times New Roman" w:eastAsia="Times New Roman" w:hAnsi="Times New Roman" w:cs="Times New Roman"/>
          <w:bCs/>
          <w:sz w:val="24"/>
          <w:szCs w:val="24"/>
          <w:lang w:eastAsia="el-GR"/>
        </w:rPr>
        <w:t>επιχειρήσεων</w:t>
      </w:r>
      <w:r w:rsidRPr="00E36734">
        <w:rPr>
          <w:rFonts w:ascii="Times New Roman" w:eastAsia="Times New Roman" w:hAnsi="Times New Roman" w:cs="Times New Roman"/>
          <w:bCs/>
          <w:sz w:val="24"/>
          <w:szCs w:val="24"/>
          <w:lang w:eastAsia="el-GR"/>
        </w:rPr>
        <w:t xml:space="preserve"> που έχουν </w:t>
      </w:r>
      <w:r w:rsidR="00E445BB" w:rsidRPr="00E36734">
        <w:rPr>
          <w:rFonts w:ascii="Times New Roman" w:eastAsia="Times New Roman" w:hAnsi="Times New Roman" w:cs="Times New Roman"/>
          <w:bCs/>
          <w:sz w:val="24"/>
          <w:szCs w:val="24"/>
          <w:lang w:eastAsia="el-GR"/>
        </w:rPr>
        <w:t>αναστείλει</w:t>
      </w:r>
      <w:r w:rsidRPr="00E36734">
        <w:rPr>
          <w:rFonts w:ascii="Times New Roman" w:eastAsia="Times New Roman" w:hAnsi="Times New Roman" w:cs="Times New Roman"/>
          <w:bCs/>
          <w:sz w:val="24"/>
          <w:szCs w:val="24"/>
          <w:lang w:eastAsia="el-GR"/>
        </w:rPr>
        <w:t xml:space="preserve"> τη λειτουργία τους με κρατική εντολή. Συγκεκριμένα περισσότερες από τις </w:t>
      </w:r>
      <w:r w:rsidR="00E445BB" w:rsidRPr="00E36734">
        <w:rPr>
          <w:rFonts w:ascii="Times New Roman" w:eastAsia="Times New Roman" w:hAnsi="Times New Roman" w:cs="Times New Roman"/>
          <w:bCs/>
          <w:sz w:val="24"/>
          <w:szCs w:val="24"/>
          <w:lang w:eastAsia="el-GR"/>
        </w:rPr>
        <w:t>μισές</w:t>
      </w:r>
      <w:r w:rsidRPr="00E36734">
        <w:rPr>
          <w:rFonts w:ascii="Times New Roman" w:eastAsia="Times New Roman" w:hAnsi="Times New Roman" w:cs="Times New Roman"/>
          <w:bCs/>
          <w:sz w:val="24"/>
          <w:szCs w:val="24"/>
          <w:lang w:eastAsia="el-GR"/>
        </w:rPr>
        <w:t xml:space="preserve"> επιχειρήσεις </w:t>
      </w:r>
      <w:r w:rsidR="00E445BB" w:rsidRPr="00E36734">
        <w:rPr>
          <w:rFonts w:ascii="Times New Roman" w:eastAsia="Times New Roman" w:hAnsi="Times New Roman" w:cs="Times New Roman"/>
          <w:bCs/>
          <w:sz w:val="24"/>
          <w:szCs w:val="24"/>
          <w:lang w:eastAsia="el-GR"/>
        </w:rPr>
        <w:t xml:space="preserve">(53,9%) </w:t>
      </w:r>
      <w:r w:rsidRPr="00E36734">
        <w:rPr>
          <w:rFonts w:ascii="Times New Roman" w:eastAsia="Times New Roman" w:hAnsi="Times New Roman" w:cs="Times New Roman"/>
          <w:bCs/>
          <w:sz w:val="24"/>
          <w:szCs w:val="24"/>
          <w:lang w:eastAsia="el-GR"/>
        </w:rPr>
        <w:t xml:space="preserve">που έχουν τεθεί σε αναστολή </w:t>
      </w:r>
      <w:r w:rsidR="00E445BB" w:rsidRPr="00E36734">
        <w:rPr>
          <w:rFonts w:ascii="Times New Roman" w:eastAsia="Times New Roman" w:hAnsi="Times New Roman" w:cs="Times New Roman"/>
          <w:bCs/>
          <w:sz w:val="24"/>
          <w:szCs w:val="24"/>
          <w:lang w:eastAsia="el-GR"/>
        </w:rPr>
        <w:t>λειτουργίας</w:t>
      </w:r>
      <w:r w:rsidRPr="00E36734">
        <w:rPr>
          <w:rFonts w:ascii="Times New Roman" w:eastAsia="Times New Roman" w:hAnsi="Times New Roman" w:cs="Times New Roman"/>
          <w:bCs/>
          <w:sz w:val="24"/>
          <w:szCs w:val="24"/>
          <w:lang w:eastAsia="el-GR"/>
        </w:rPr>
        <w:t xml:space="preserve"> </w:t>
      </w:r>
      <w:r w:rsidR="00E445BB" w:rsidRPr="00E36734">
        <w:rPr>
          <w:rFonts w:ascii="Times New Roman" w:eastAsia="Times New Roman" w:hAnsi="Times New Roman" w:cs="Times New Roman"/>
          <w:bCs/>
          <w:sz w:val="24"/>
          <w:szCs w:val="24"/>
          <w:lang w:eastAsia="el-GR"/>
        </w:rPr>
        <w:t xml:space="preserve">εκφράζουν το φόβο πως θα διακόψουν την λειτουργία τους το επόμενο διάστημα. Αντίστοιχα είναι και τα στοιχεία για τις επιχειρήσεις εστίασης. </w:t>
      </w:r>
    </w:p>
    <w:p w14:paraId="5BA817C2" w14:textId="77777777" w:rsidR="00CC546C" w:rsidRPr="00E36734" w:rsidRDefault="00CC546C" w:rsidP="00143079">
      <w:pPr>
        <w:spacing w:after="0" w:line="360" w:lineRule="auto"/>
        <w:jc w:val="both"/>
        <w:rPr>
          <w:rFonts w:ascii="Times New Roman" w:eastAsia="Times New Roman" w:hAnsi="Times New Roman" w:cs="Times New Roman"/>
          <w:bCs/>
          <w:sz w:val="24"/>
          <w:szCs w:val="24"/>
          <w:lang w:eastAsia="el-GR"/>
        </w:rPr>
      </w:pP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72"/>
        <w:gridCol w:w="1890"/>
        <w:gridCol w:w="1890"/>
        <w:gridCol w:w="1890"/>
        <w:gridCol w:w="1630"/>
      </w:tblGrid>
      <w:tr w:rsidR="00487FB4" w:rsidRPr="00E36734" w14:paraId="2CF4EE40" w14:textId="77777777" w:rsidTr="00BE7C9E">
        <w:trPr>
          <w:trHeight w:val="458"/>
        </w:trPr>
        <w:tc>
          <w:tcPr>
            <w:tcW w:w="3072" w:type="dxa"/>
            <w:vMerge w:val="restart"/>
            <w:shd w:val="clear" w:color="auto" w:fill="FDEADA"/>
            <w:tcMar>
              <w:top w:w="12" w:type="dxa"/>
              <w:left w:w="12" w:type="dxa"/>
              <w:bottom w:w="0" w:type="dxa"/>
              <w:right w:w="12" w:type="dxa"/>
            </w:tcMar>
            <w:vAlign w:val="bottom"/>
            <w:hideMark/>
          </w:tcPr>
          <w:p w14:paraId="4BDB190E" w14:textId="77777777" w:rsidR="007E56A7" w:rsidRPr="00E36734" w:rsidRDefault="007E56A7" w:rsidP="00BE7C9E">
            <w:pPr>
              <w:spacing w:line="240" w:lineRule="auto"/>
              <w:jc w:val="center"/>
              <w:rPr>
                <w:rFonts w:eastAsia="Times New Roman" w:cstheme="minorHAnsi"/>
                <w:b/>
                <w:bCs/>
                <w:sz w:val="20"/>
                <w:szCs w:val="20"/>
              </w:rPr>
            </w:pPr>
            <w:r w:rsidRPr="00E36734">
              <w:rPr>
                <w:rFonts w:eastAsia="Times New Roman" w:cstheme="minorHAnsi"/>
                <w:b/>
                <w:bCs/>
                <w:sz w:val="20"/>
                <w:szCs w:val="20"/>
              </w:rPr>
              <w:t>Πίνακας 7</w:t>
            </w:r>
          </w:p>
          <w:p w14:paraId="35B787E1" w14:textId="66D671DD" w:rsidR="00487FB4" w:rsidRPr="00E36734" w:rsidRDefault="00BE7C9E" w:rsidP="00BE7C9E">
            <w:pPr>
              <w:spacing w:line="240" w:lineRule="auto"/>
              <w:jc w:val="center"/>
              <w:rPr>
                <w:rFonts w:eastAsia="Times New Roman" w:cstheme="minorHAnsi"/>
                <w:sz w:val="18"/>
                <w:szCs w:val="18"/>
              </w:rPr>
            </w:pPr>
            <w:r w:rsidRPr="00E36734">
              <w:rPr>
                <w:rFonts w:eastAsia="Times New Roman" w:cstheme="minorHAnsi"/>
                <w:sz w:val="18"/>
                <w:szCs w:val="18"/>
              </w:rPr>
              <w:t>Με τις υπάρχουσες σήμερα συνθήκες και με τις προοπτικές όπως διαμορφώνονται, θεωρείτε πιθανό ή όχι το ενδεχόμενο η επιχείρησή σας να έχει σοβαρό πρόβλημα λειτουργίας το επόμενο διάστημα σε βαθμό που θα κινδυνεύει να κλείσει;</w:t>
            </w:r>
          </w:p>
        </w:tc>
        <w:tc>
          <w:tcPr>
            <w:tcW w:w="5670" w:type="dxa"/>
            <w:gridSpan w:val="3"/>
            <w:shd w:val="clear" w:color="auto" w:fill="FDEADA"/>
            <w:tcMar>
              <w:top w:w="12" w:type="dxa"/>
              <w:left w:w="12" w:type="dxa"/>
              <w:bottom w:w="0" w:type="dxa"/>
              <w:right w:w="12" w:type="dxa"/>
            </w:tcMar>
            <w:vAlign w:val="center"/>
            <w:hideMark/>
          </w:tcPr>
          <w:p w14:paraId="5CE4A066" w14:textId="77777777" w:rsidR="00487FB4" w:rsidRPr="00E36734" w:rsidRDefault="00487FB4" w:rsidP="00487FB4">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Επιχειρήσεις που το τελευταίο εξάμηνο...</w:t>
            </w:r>
          </w:p>
        </w:tc>
        <w:tc>
          <w:tcPr>
            <w:tcW w:w="1630" w:type="dxa"/>
            <w:vMerge w:val="restart"/>
            <w:shd w:val="clear" w:color="auto" w:fill="FDEADA"/>
          </w:tcPr>
          <w:p w14:paraId="49EA44D7" w14:textId="77777777" w:rsidR="00487FB4" w:rsidRPr="00E36734" w:rsidRDefault="00487FB4" w:rsidP="00487FB4">
            <w:pPr>
              <w:spacing w:after="0" w:line="240" w:lineRule="auto"/>
              <w:jc w:val="center"/>
              <w:textAlignment w:val="center"/>
              <w:rPr>
                <w:rFonts w:eastAsia="Microsoft JhengHei UI" w:cstheme="minorHAnsi"/>
                <w:color w:val="000000"/>
                <w:kern w:val="24"/>
                <w:sz w:val="18"/>
                <w:szCs w:val="18"/>
              </w:rPr>
            </w:pPr>
          </w:p>
          <w:p w14:paraId="3B5FD980" w14:textId="77777777" w:rsidR="00487FB4" w:rsidRPr="00E36734" w:rsidRDefault="00487FB4" w:rsidP="00487FB4">
            <w:pPr>
              <w:spacing w:after="0" w:line="240" w:lineRule="auto"/>
              <w:jc w:val="center"/>
              <w:textAlignment w:val="center"/>
              <w:rPr>
                <w:rFonts w:eastAsia="Microsoft JhengHei UI" w:cstheme="minorHAnsi"/>
                <w:color w:val="000000"/>
                <w:kern w:val="24"/>
                <w:sz w:val="18"/>
                <w:szCs w:val="18"/>
              </w:rPr>
            </w:pPr>
          </w:p>
          <w:p w14:paraId="0227CE25" w14:textId="77777777" w:rsidR="00BE7C9E" w:rsidRPr="00E36734" w:rsidRDefault="00BE7C9E" w:rsidP="00487FB4">
            <w:pPr>
              <w:spacing w:after="0" w:line="240" w:lineRule="auto"/>
              <w:jc w:val="center"/>
              <w:textAlignment w:val="center"/>
              <w:rPr>
                <w:rFonts w:eastAsia="Microsoft JhengHei UI" w:cstheme="minorHAnsi"/>
                <w:color w:val="000000"/>
                <w:kern w:val="24"/>
                <w:sz w:val="18"/>
                <w:szCs w:val="18"/>
              </w:rPr>
            </w:pPr>
          </w:p>
          <w:p w14:paraId="6727E4D4" w14:textId="779AA138" w:rsidR="00487FB4" w:rsidRPr="00E36734" w:rsidRDefault="00487FB4" w:rsidP="00487FB4">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Επιχειρήσεις</w:t>
            </w:r>
          </w:p>
          <w:p w14:paraId="00829759" w14:textId="77777777" w:rsidR="00487FB4" w:rsidRPr="00E36734" w:rsidRDefault="00487FB4" w:rsidP="00487FB4">
            <w:pPr>
              <w:spacing w:after="0" w:line="240" w:lineRule="auto"/>
              <w:jc w:val="center"/>
              <w:textAlignment w:val="center"/>
              <w:rPr>
                <w:rFonts w:eastAsia="Microsoft JhengHei UI" w:cstheme="minorHAnsi"/>
                <w:color w:val="000000"/>
                <w:kern w:val="24"/>
                <w:sz w:val="18"/>
                <w:szCs w:val="18"/>
              </w:rPr>
            </w:pPr>
            <w:r w:rsidRPr="00E36734">
              <w:rPr>
                <w:rFonts w:eastAsia="Microsoft JhengHei UI" w:cstheme="minorHAnsi"/>
                <w:color w:val="000000"/>
                <w:kern w:val="24"/>
                <w:sz w:val="18"/>
                <w:szCs w:val="18"/>
              </w:rPr>
              <w:t xml:space="preserve"> εστίασης</w:t>
            </w:r>
          </w:p>
        </w:tc>
      </w:tr>
      <w:tr w:rsidR="00487FB4" w:rsidRPr="00E36734" w14:paraId="090E22D2" w14:textId="77777777" w:rsidTr="00BE7C9E">
        <w:trPr>
          <w:trHeight w:val="872"/>
        </w:trPr>
        <w:tc>
          <w:tcPr>
            <w:tcW w:w="3072" w:type="dxa"/>
            <w:vMerge/>
            <w:shd w:val="clear" w:color="auto" w:fill="FDEADA"/>
            <w:tcMar>
              <w:top w:w="12" w:type="dxa"/>
              <w:left w:w="12" w:type="dxa"/>
              <w:bottom w:w="0" w:type="dxa"/>
              <w:right w:w="12" w:type="dxa"/>
            </w:tcMar>
            <w:vAlign w:val="bottom"/>
            <w:hideMark/>
          </w:tcPr>
          <w:p w14:paraId="4B64DA94" w14:textId="77777777" w:rsidR="00487FB4" w:rsidRPr="00E36734" w:rsidRDefault="00487FB4" w:rsidP="00487FB4">
            <w:pPr>
              <w:spacing w:after="0" w:line="240" w:lineRule="auto"/>
              <w:jc w:val="center"/>
              <w:rPr>
                <w:rFonts w:eastAsia="Times New Roman" w:cstheme="minorHAnsi"/>
                <w:sz w:val="18"/>
                <w:szCs w:val="18"/>
              </w:rPr>
            </w:pPr>
          </w:p>
        </w:tc>
        <w:tc>
          <w:tcPr>
            <w:tcW w:w="1890" w:type="dxa"/>
            <w:shd w:val="clear" w:color="auto" w:fill="FDEADA"/>
            <w:tcMar>
              <w:top w:w="12" w:type="dxa"/>
              <w:left w:w="12" w:type="dxa"/>
              <w:bottom w:w="0" w:type="dxa"/>
              <w:right w:w="12" w:type="dxa"/>
            </w:tcMar>
            <w:vAlign w:val="center"/>
            <w:hideMark/>
          </w:tcPr>
          <w:p w14:paraId="77223020" w14:textId="77777777" w:rsidR="00487FB4" w:rsidRPr="00E36734" w:rsidRDefault="00487FB4" w:rsidP="00487FB4">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ανέστειλαν την δραστηριότητα τους με κρατική εντολή</w:t>
            </w:r>
          </w:p>
        </w:tc>
        <w:tc>
          <w:tcPr>
            <w:tcW w:w="1890" w:type="dxa"/>
            <w:shd w:val="clear" w:color="auto" w:fill="FDEADA"/>
            <w:tcMar>
              <w:top w:w="12" w:type="dxa"/>
              <w:left w:w="12" w:type="dxa"/>
              <w:bottom w:w="0" w:type="dxa"/>
              <w:right w:w="12" w:type="dxa"/>
            </w:tcMar>
            <w:vAlign w:val="center"/>
            <w:hideMark/>
          </w:tcPr>
          <w:p w14:paraId="759D2160" w14:textId="77777777" w:rsidR="00487FB4" w:rsidRPr="00E36734" w:rsidRDefault="00487FB4" w:rsidP="00487FB4">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ανήκαν στις πληττόμενες βάσει ΚΑΔ επιχειρήσεις</w:t>
            </w:r>
          </w:p>
        </w:tc>
        <w:tc>
          <w:tcPr>
            <w:tcW w:w="1890" w:type="dxa"/>
            <w:shd w:val="clear" w:color="auto" w:fill="FDEADA"/>
            <w:tcMar>
              <w:top w:w="12" w:type="dxa"/>
              <w:left w:w="12" w:type="dxa"/>
              <w:bottom w:w="0" w:type="dxa"/>
              <w:right w:w="12" w:type="dxa"/>
            </w:tcMar>
            <w:vAlign w:val="center"/>
            <w:hideMark/>
          </w:tcPr>
          <w:p w14:paraId="2816537E" w14:textId="615E3EC3" w:rsidR="00487FB4" w:rsidRPr="00E36734" w:rsidRDefault="00BE7C9E" w:rsidP="00487FB4">
            <w:pPr>
              <w:spacing w:after="0" w:line="240" w:lineRule="auto"/>
              <w:jc w:val="center"/>
              <w:textAlignment w:val="center"/>
              <w:rPr>
                <w:rFonts w:eastAsia="Times New Roman" w:cstheme="minorHAnsi"/>
                <w:sz w:val="18"/>
                <w:szCs w:val="18"/>
              </w:rPr>
            </w:pPr>
            <w:r w:rsidRPr="00E36734">
              <w:rPr>
                <w:rFonts w:eastAsia="Microsoft JhengHei UI" w:cstheme="minorHAnsi"/>
                <w:color w:val="000000"/>
                <w:kern w:val="24"/>
                <w:sz w:val="18"/>
                <w:szCs w:val="18"/>
              </w:rPr>
              <w:t>δ</w:t>
            </w:r>
            <w:r w:rsidR="00487FB4" w:rsidRPr="00E36734">
              <w:rPr>
                <w:rFonts w:eastAsia="Microsoft JhengHei UI" w:cstheme="minorHAnsi"/>
                <w:color w:val="000000"/>
                <w:kern w:val="24"/>
                <w:sz w:val="18"/>
                <w:szCs w:val="18"/>
              </w:rPr>
              <w:t>εν ανήκαν σε καμία από τις παρακείμενες κατηγορίες</w:t>
            </w:r>
          </w:p>
        </w:tc>
        <w:tc>
          <w:tcPr>
            <w:tcW w:w="1630" w:type="dxa"/>
            <w:vMerge/>
            <w:shd w:val="clear" w:color="auto" w:fill="FDEADA"/>
          </w:tcPr>
          <w:p w14:paraId="7B8DC6BC" w14:textId="77777777" w:rsidR="00487FB4" w:rsidRPr="00E36734" w:rsidRDefault="00487FB4" w:rsidP="00487FB4">
            <w:pPr>
              <w:spacing w:after="0" w:line="240" w:lineRule="auto"/>
              <w:jc w:val="center"/>
              <w:textAlignment w:val="center"/>
              <w:rPr>
                <w:rFonts w:eastAsia="Microsoft JhengHei UI" w:cstheme="minorHAnsi"/>
                <w:color w:val="000000"/>
                <w:kern w:val="24"/>
                <w:sz w:val="18"/>
                <w:szCs w:val="18"/>
              </w:rPr>
            </w:pPr>
          </w:p>
        </w:tc>
      </w:tr>
      <w:tr w:rsidR="00487FB4" w:rsidRPr="00E36734" w14:paraId="2BE68000" w14:textId="77777777" w:rsidTr="00BE7C9E">
        <w:trPr>
          <w:trHeight w:val="458"/>
        </w:trPr>
        <w:tc>
          <w:tcPr>
            <w:tcW w:w="3072" w:type="dxa"/>
            <w:shd w:val="clear" w:color="auto" w:fill="auto"/>
            <w:tcMar>
              <w:top w:w="12" w:type="dxa"/>
              <w:left w:w="12" w:type="dxa"/>
              <w:bottom w:w="0" w:type="dxa"/>
              <w:right w:w="12" w:type="dxa"/>
            </w:tcMar>
            <w:vAlign w:val="center"/>
            <w:hideMark/>
          </w:tcPr>
          <w:p w14:paraId="7E5A83F7" w14:textId="470875C1" w:rsidR="00487FB4" w:rsidRPr="00E36734" w:rsidRDefault="00BE7C9E" w:rsidP="00487FB4">
            <w:pPr>
              <w:spacing w:before="240" w:after="0" w:line="240" w:lineRule="auto"/>
              <w:jc w:val="center"/>
              <w:textAlignment w:val="bottom"/>
              <w:rPr>
                <w:rFonts w:eastAsia="Times New Roman" w:cstheme="minorHAnsi"/>
                <w:sz w:val="18"/>
                <w:szCs w:val="18"/>
              </w:rPr>
            </w:pPr>
            <w:r w:rsidRPr="00E36734">
              <w:rPr>
                <w:rFonts w:eastAsia="Times New Roman" w:cstheme="minorHAnsi"/>
                <w:sz w:val="18"/>
                <w:szCs w:val="18"/>
              </w:rPr>
              <w:t>Πολύ&amp; αρκετά πιθανό</w:t>
            </w:r>
          </w:p>
        </w:tc>
        <w:tc>
          <w:tcPr>
            <w:tcW w:w="1890" w:type="dxa"/>
            <w:shd w:val="clear" w:color="auto" w:fill="auto"/>
            <w:tcMar>
              <w:top w:w="12" w:type="dxa"/>
              <w:left w:w="12" w:type="dxa"/>
              <w:bottom w:w="0" w:type="dxa"/>
              <w:right w:w="12" w:type="dxa"/>
            </w:tcMar>
            <w:hideMark/>
          </w:tcPr>
          <w:p w14:paraId="718584FA" w14:textId="20B76826"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53,9</w:t>
            </w:r>
          </w:p>
        </w:tc>
        <w:tc>
          <w:tcPr>
            <w:tcW w:w="1890" w:type="dxa"/>
            <w:shd w:val="clear" w:color="auto" w:fill="auto"/>
            <w:tcMar>
              <w:top w:w="12" w:type="dxa"/>
              <w:left w:w="12" w:type="dxa"/>
              <w:bottom w:w="0" w:type="dxa"/>
              <w:right w:w="12" w:type="dxa"/>
            </w:tcMar>
            <w:hideMark/>
          </w:tcPr>
          <w:p w14:paraId="2A4B5A8A" w14:textId="154A01DC"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36</w:t>
            </w:r>
          </w:p>
        </w:tc>
        <w:tc>
          <w:tcPr>
            <w:tcW w:w="1890" w:type="dxa"/>
            <w:shd w:val="clear" w:color="auto" w:fill="auto"/>
            <w:tcMar>
              <w:top w:w="12" w:type="dxa"/>
              <w:left w:w="12" w:type="dxa"/>
              <w:bottom w:w="0" w:type="dxa"/>
              <w:right w:w="12" w:type="dxa"/>
            </w:tcMar>
            <w:hideMark/>
          </w:tcPr>
          <w:p w14:paraId="27DD3361" w14:textId="0DA99426"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26,7</w:t>
            </w:r>
          </w:p>
        </w:tc>
        <w:tc>
          <w:tcPr>
            <w:tcW w:w="1630" w:type="dxa"/>
            <w:shd w:val="clear" w:color="auto" w:fill="auto"/>
          </w:tcPr>
          <w:p w14:paraId="6C08E282" w14:textId="666376A7" w:rsidR="00487FB4" w:rsidRPr="00E36734" w:rsidRDefault="00BE7C9E" w:rsidP="00487FB4">
            <w:pPr>
              <w:spacing w:before="240" w:after="0" w:line="240" w:lineRule="auto"/>
              <w:jc w:val="center"/>
              <w:textAlignment w:val="center"/>
              <w:rPr>
                <w:rFonts w:eastAsia="Microsoft JhengHei UI" w:cstheme="minorHAnsi"/>
                <w:color w:val="000000"/>
                <w:kern w:val="24"/>
                <w:sz w:val="18"/>
                <w:szCs w:val="18"/>
              </w:rPr>
            </w:pPr>
            <w:r w:rsidRPr="00E36734">
              <w:t>50</w:t>
            </w:r>
          </w:p>
        </w:tc>
      </w:tr>
      <w:tr w:rsidR="00487FB4" w:rsidRPr="00E36734" w14:paraId="4E65009C" w14:textId="77777777" w:rsidTr="00BE7C9E">
        <w:trPr>
          <w:trHeight w:val="458"/>
        </w:trPr>
        <w:tc>
          <w:tcPr>
            <w:tcW w:w="3072" w:type="dxa"/>
            <w:shd w:val="clear" w:color="auto" w:fill="auto"/>
            <w:tcMar>
              <w:top w:w="12" w:type="dxa"/>
              <w:left w:w="12" w:type="dxa"/>
              <w:bottom w:w="0" w:type="dxa"/>
              <w:right w:w="12" w:type="dxa"/>
            </w:tcMar>
            <w:vAlign w:val="center"/>
            <w:hideMark/>
          </w:tcPr>
          <w:p w14:paraId="44C953B2" w14:textId="099264FC" w:rsidR="00487FB4" w:rsidRPr="00E36734" w:rsidRDefault="00BE7C9E" w:rsidP="00487FB4">
            <w:pPr>
              <w:spacing w:before="240"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Ελάχιστα &amp; καθόλου πιθανό</w:t>
            </w:r>
          </w:p>
        </w:tc>
        <w:tc>
          <w:tcPr>
            <w:tcW w:w="1890" w:type="dxa"/>
            <w:shd w:val="clear" w:color="auto" w:fill="auto"/>
            <w:tcMar>
              <w:top w:w="12" w:type="dxa"/>
              <w:left w:w="12" w:type="dxa"/>
              <w:bottom w:w="0" w:type="dxa"/>
              <w:right w:w="12" w:type="dxa"/>
            </w:tcMar>
            <w:hideMark/>
          </w:tcPr>
          <w:p w14:paraId="7A9CA961" w14:textId="653916D5"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44,5</w:t>
            </w:r>
          </w:p>
        </w:tc>
        <w:tc>
          <w:tcPr>
            <w:tcW w:w="1890" w:type="dxa"/>
            <w:shd w:val="clear" w:color="auto" w:fill="auto"/>
            <w:tcMar>
              <w:top w:w="12" w:type="dxa"/>
              <w:left w:w="12" w:type="dxa"/>
              <w:bottom w:w="0" w:type="dxa"/>
              <w:right w:w="12" w:type="dxa"/>
            </w:tcMar>
            <w:hideMark/>
          </w:tcPr>
          <w:p w14:paraId="671AE6A5" w14:textId="0A72DB8D"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60,4</w:t>
            </w:r>
          </w:p>
        </w:tc>
        <w:tc>
          <w:tcPr>
            <w:tcW w:w="1890" w:type="dxa"/>
            <w:shd w:val="clear" w:color="auto" w:fill="auto"/>
            <w:tcMar>
              <w:top w:w="12" w:type="dxa"/>
              <w:left w:w="12" w:type="dxa"/>
              <w:bottom w:w="0" w:type="dxa"/>
              <w:right w:w="12" w:type="dxa"/>
            </w:tcMar>
            <w:hideMark/>
          </w:tcPr>
          <w:p w14:paraId="0E0F4440" w14:textId="726A201B" w:rsidR="00487FB4" w:rsidRPr="00E36734" w:rsidRDefault="00BE7C9E" w:rsidP="00487FB4">
            <w:pPr>
              <w:spacing w:before="240" w:after="0" w:line="240" w:lineRule="auto"/>
              <w:jc w:val="center"/>
              <w:textAlignment w:val="center"/>
              <w:rPr>
                <w:rFonts w:eastAsia="Times New Roman" w:cstheme="minorHAnsi"/>
                <w:sz w:val="18"/>
                <w:szCs w:val="18"/>
                <w:lang w:val="en-US"/>
              </w:rPr>
            </w:pPr>
            <w:r w:rsidRPr="00E36734">
              <w:t>70,5</w:t>
            </w:r>
          </w:p>
        </w:tc>
        <w:tc>
          <w:tcPr>
            <w:tcW w:w="1630" w:type="dxa"/>
            <w:shd w:val="clear" w:color="auto" w:fill="auto"/>
          </w:tcPr>
          <w:p w14:paraId="7ABA0BD6" w14:textId="3B2B082A" w:rsidR="00487FB4" w:rsidRPr="00E36734" w:rsidRDefault="00BE7C9E" w:rsidP="00487FB4">
            <w:pPr>
              <w:spacing w:before="240" w:after="0" w:line="240" w:lineRule="auto"/>
              <w:jc w:val="center"/>
              <w:textAlignment w:val="center"/>
              <w:rPr>
                <w:rFonts w:eastAsia="Microsoft JhengHei UI" w:cstheme="minorHAnsi"/>
                <w:color w:val="000000"/>
                <w:kern w:val="24"/>
                <w:sz w:val="18"/>
                <w:szCs w:val="18"/>
                <w:lang w:val="en-US"/>
              </w:rPr>
            </w:pPr>
            <w:r w:rsidRPr="00E36734">
              <w:t>45,6</w:t>
            </w:r>
          </w:p>
        </w:tc>
      </w:tr>
      <w:tr w:rsidR="00487FB4" w:rsidRPr="00E36734" w14:paraId="2870F2C3" w14:textId="77777777" w:rsidTr="00BE7C9E">
        <w:trPr>
          <w:trHeight w:val="458"/>
        </w:trPr>
        <w:tc>
          <w:tcPr>
            <w:tcW w:w="3072" w:type="dxa"/>
            <w:shd w:val="clear" w:color="auto" w:fill="auto"/>
            <w:tcMar>
              <w:top w:w="12" w:type="dxa"/>
              <w:left w:w="12" w:type="dxa"/>
              <w:bottom w:w="0" w:type="dxa"/>
              <w:right w:w="12" w:type="dxa"/>
            </w:tcMar>
            <w:vAlign w:val="center"/>
            <w:hideMark/>
          </w:tcPr>
          <w:p w14:paraId="4682CE32" w14:textId="77777777" w:rsidR="00487FB4" w:rsidRPr="00E36734" w:rsidRDefault="00487FB4" w:rsidP="00487FB4">
            <w:pPr>
              <w:spacing w:before="240" w:after="0" w:line="240" w:lineRule="auto"/>
              <w:jc w:val="center"/>
              <w:textAlignment w:val="bottom"/>
              <w:rPr>
                <w:rFonts w:eastAsia="Times New Roman" w:cstheme="minorHAnsi"/>
                <w:sz w:val="18"/>
                <w:szCs w:val="18"/>
                <w:lang w:val="en-US"/>
              </w:rPr>
            </w:pPr>
            <w:r w:rsidRPr="00E36734">
              <w:rPr>
                <w:rFonts w:eastAsia="Microsoft JhengHei UI" w:cstheme="minorHAnsi"/>
                <w:color w:val="000000"/>
                <w:kern w:val="24"/>
                <w:sz w:val="18"/>
                <w:szCs w:val="18"/>
              </w:rPr>
              <w:t>Δ.Ξ/Δ.Α</w:t>
            </w:r>
          </w:p>
        </w:tc>
        <w:tc>
          <w:tcPr>
            <w:tcW w:w="1890" w:type="dxa"/>
            <w:shd w:val="clear" w:color="auto" w:fill="auto"/>
            <w:tcMar>
              <w:top w:w="12" w:type="dxa"/>
              <w:left w:w="12" w:type="dxa"/>
              <w:bottom w:w="0" w:type="dxa"/>
              <w:right w:w="12" w:type="dxa"/>
            </w:tcMar>
            <w:hideMark/>
          </w:tcPr>
          <w:p w14:paraId="232D24B7" w14:textId="77777777" w:rsidR="00487FB4" w:rsidRPr="00E36734" w:rsidRDefault="00487FB4" w:rsidP="00487FB4">
            <w:pPr>
              <w:spacing w:before="240" w:after="0" w:line="240" w:lineRule="auto"/>
              <w:jc w:val="center"/>
              <w:textAlignment w:val="center"/>
              <w:rPr>
                <w:rFonts w:eastAsia="Times New Roman" w:cstheme="minorHAnsi"/>
                <w:sz w:val="18"/>
                <w:szCs w:val="18"/>
                <w:lang w:val="en-US"/>
              </w:rPr>
            </w:pPr>
            <w:r w:rsidRPr="00E36734">
              <w:t>1,6</w:t>
            </w:r>
          </w:p>
        </w:tc>
        <w:tc>
          <w:tcPr>
            <w:tcW w:w="1890" w:type="dxa"/>
            <w:shd w:val="clear" w:color="auto" w:fill="auto"/>
            <w:tcMar>
              <w:top w:w="12" w:type="dxa"/>
              <w:left w:w="12" w:type="dxa"/>
              <w:bottom w:w="0" w:type="dxa"/>
              <w:right w:w="12" w:type="dxa"/>
            </w:tcMar>
            <w:hideMark/>
          </w:tcPr>
          <w:p w14:paraId="15E63E13" w14:textId="77777777" w:rsidR="00487FB4" w:rsidRPr="00E36734" w:rsidRDefault="00487FB4" w:rsidP="00487FB4">
            <w:pPr>
              <w:spacing w:before="240" w:after="0" w:line="240" w:lineRule="auto"/>
              <w:jc w:val="center"/>
              <w:textAlignment w:val="center"/>
              <w:rPr>
                <w:rFonts w:eastAsia="Times New Roman" w:cstheme="minorHAnsi"/>
                <w:sz w:val="18"/>
                <w:szCs w:val="18"/>
                <w:lang w:val="en-US"/>
              </w:rPr>
            </w:pPr>
            <w:r w:rsidRPr="00E36734">
              <w:t>3,6</w:t>
            </w:r>
          </w:p>
        </w:tc>
        <w:tc>
          <w:tcPr>
            <w:tcW w:w="1890" w:type="dxa"/>
            <w:shd w:val="clear" w:color="auto" w:fill="auto"/>
            <w:tcMar>
              <w:top w:w="12" w:type="dxa"/>
              <w:left w:w="12" w:type="dxa"/>
              <w:bottom w:w="0" w:type="dxa"/>
              <w:right w:w="12" w:type="dxa"/>
            </w:tcMar>
            <w:hideMark/>
          </w:tcPr>
          <w:p w14:paraId="3CE81E38" w14:textId="04CC19EE" w:rsidR="00487FB4" w:rsidRPr="00E36734" w:rsidRDefault="00487FB4" w:rsidP="00487FB4">
            <w:pPr>
              <w:spacing w:before="240" w:after="0" w:line="240" w:lineRule="auto"/>
              <w:jc w:val="center"/>
              <w:textAlignment w:val="center"/>
              <w:rPr>
                <w:rFonts w:eastAsia="Times New Roman" w:cstheme="minorHAnsi"/>
                <w:sz w:val="18"/>
                <w:szCs w:val="18"/>
                <w:lang w:val="en-US"/>
              </w:rPr>
            </w:pPr>
            <w:r w:rsidRPr="00E36734">
              <w:t>2,</w:t>
            </w:r>
            <w:r w:rsidR="00BE7C9E" w:rsidRPr="00E36734">
              <w:t>7</w:t>
            </w:r>
          </w:p>
        </w:tc>
        <w:tc>
          <w:tcPr>
            <w:tcW w:w="1630" w:type="dxa"/>
            <w:shd w:val="clear" w:color="auto" w:fill="auto"/>
          </w:tcPr>
          <w:p w14:paraId="2FDC107A" w14:textId="7080C29B" w:rsidR="00487FB4" w:rsidRPr="00E36734" w:rsidRDefault="00BE7C9E" w:rsidP="00487FB4">
            <w:pPr>
              <w:spacing w:before="240" w:after="0" w:line="240" w:lineRule="auto"/>
              <w:jc w:val="center"/>
              <w:textAlignment w:val="center"/>
              <w:rPr>
                <w:rFonts w:eastAsia="Microsoft JhengHei UI" w:cstheme="minorHAnsi"/>
                <w:color w:val="000000"/>
                <w:kern w:val="24"/>
                <w:sz w:val="18"/>
                <w:szCs w:val="18"/>
                <w:lang w:val="en-US"/>
              </w:rPr>
            </w:pPr>
            <w:r w:rsidRPr="00E36734">
              <w:t>4,4</w:t>
            </w:r>
          </w:p>
        </w:tc>
      </w:tr>
    </w:tbl>
    <w:p w14:paraId="6411EC00" w14:textId="77777777" w:rsidR="00344F20" w:rsidRPr="00E36734" w:rsidRDefault="00344F20" w:rsidP="00143079">
      <w:pPr>
        <w:spacing w:after="0" w:line="360" w:lineRule="auto"/>
        <w:jc w:val="both"/>
        <w:rPr>
          <w:rFonts w:ascii="Times New Roman" w:eastAsia="Times New Roman" w:hAnsi="Times New Roman" w:cs="Times New Roman"/>
          <w:b/>
          <w:sz w:val="24"/>
          <w:szCs w:val="24"/>
          <w:lang w:eastAsia="el-GR"/>
        </w:rPr>
      </w:pPr>
    </w:p>
    <w:p w14:paraId="2FA1F178" w14:textId="77777777" w:rsidR="008D6CAD" w:rsidRPr="00E36734" w:rsidRDefault="008D6CAD" w:rsidP="00143079">
      <w:pPr>
        <w:spacing w:after="0" w:line="360" w:lineRule="auto"/>
        <w:jc w:val="both"/>
        <w:rPr>
          <w:rFonts w:ascii="Times New Roman" w:eastAsia="Times New Roman" w:hAnsi="Times New Roman" w:cs="Times New Roman"/>
          <w:b/>
          <w:sz w:val="24"/>
          <w:szCs w:val="24"/>
          <w:u w:val="single"/>
          <w:lang w:eastAsia="el-GR"/>
        </w:rPr>
      </w:pPr>
      <w:bookmarkStart w:id="28" w:name="_Hlk68090634"/>
    </w:p>
    <w:p w14:paraId="4A0E1002" w14:textId="77777777" w:rsidR="008D6CAD" w:rsidRPr="00E36734" w:rsidRDefault="008D6CAD" w:rsidP="00143079">
      <w:pPr>
        <w:spacing w:after="0" w:line="360" w:lineRule="auto"/>
        <w:jc w:val="both"/>
        <w:rPr>
          <w:rFonts w:ascii="Times New Roman" w:eastAsia="Times New Roman" w:hAnsi="Times New Roman" w:cs="Times New Roman"/>
          <w:b/>
          <w:sz w:val="24"/>
          <w:szCs w:val="24"/>
          <w:u w:val="single"/>
          <w:lang w:eastAsia="el-GR"/>
        </w:rPr>
      </w:pPr>
    </w:p>
    <w:p w14:paraId="5ACC5A4F" w14:textId="77777777" w:rsidR="008D6CAD" w:rsidRPr="00E36734" w:rsidRDefault="008D6CAD" w:rsidP="00143079">
      <w:pPr>
        <w:spacing w:after="0" w:line="360" w:lineRule="auto"/>
        <w:jc w:val="both"/>
        <w:rPr>
          <w:rFonts w:ascii="Times New Roman" w:eastAsia="Times New Roman" w:hAnsi="Times New Roman" w:cs="Times New Roman"/>
          <w:b/>
          <w:sz w:val="24"/>
          <w:szCs w:val="24"/>
          <w:u w:val="single"/>
          <w:lang w:eastAsia="el-GR"/>
        </w:rPr>
      </w:pPr>
    </w:p>
    <w:p w14:paraId="475457EF" w14:textId="1888FFDC" w:rsidR="00E445BB" w:rsidRPr="00E36734" w:rsidRDefault="00E445BB" w:rsidP="00143079">
      <w:pPr>
        <w:spacing w:after="0" w:line="360" w:lineRule="auto"/>
        <w:jc w:val="both"/>
        <w:rPr>
          <w:rFonts w:ascii="Times New Roman" w:eastAsia="Times New Roman" w:hAnsi="Times New Roman" w:cs="Times New Roman"/>
          <w:b/>
          <w:sz w:val="24"/>
          <w:szCs w:val="24"/>
          <w:u w:val="single"/>
          <w:lang w:eastAsia="el-GR"/>
        </w:rPr>
      </w:pPr>
      <w:r w:rsidRPr="00E36734">
        <w:rPr>
          <w:rFonts w:ascii="Times New Roman" w:eastAsia="Times New Roman" w:hAnsi="Times New Roman" w:cs="Times New Roman"/>
          <w:b/>
          <w:sz w:val="24"/>
          <w:szCs w:val="24"/>
          <w:u w:val="single"/>
          <w:lang w:eastAsia="el-GR"/>
        </w:rPr>
        <w:lastRenderedPageBreak/>
        <w:t>Μέτρα στήριξης της οικονομίας από τις επιπτώσεις της πανδημίας</w:t>
      </w:r>
    </w:p>
    <w:bookmarkEnd w:id="28"/>
    <w:p w14:paraId="7BD693C1" w14:textId="31864300" w:rsidR="00223FF0" w:rsidRPr="00E36734" w:rsidRDefault="009A4233" w:rsidP="00204FC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Όπως είναι επόμενο </w:t>
      </w:r>
      <w:r w:rsidR="00985D49" w:rsidRPr="00E36734">
        <w:rPr>
          <w:rFonts w:ascii="Times New Roman" w:eastAsia="Times New Roman" w:hAnsi="Times New Roman" w:cs="Times New Roman"/>
          <w:bCs/>
          <w:sz w:val="24"/>
          <w:szCs w:val="24"/>
          <w:lang w:eastAsia="el-GR"/>
        </w:rPr>
        <w:t xml:space="preserve">έχει γίνει </w:t>
      </w:r>
      <w:bookmarkStart w:id="29" w:name="_Hlk68090663"/>
      <w:r w:rsidR="00985D49" w:rsidRPr="00E36734">
        <w:rPr>
          <w:rFonts w:ascii="Times New Roman" w:eastAsia="Times New Roman" w:hAnsi="Times New Roman" w:cs="Times New Roman"/>
          <w:bCs/>
          <w:sz w:val="24"/>
          <w:szCs w:val="24"/>
          <w:lang w:eastAsia="el-GR"/>
        </w:rPr>
        <w:t xml:space="preserve">ευρεία χρήση από τις μικρές και πολύ μικρές επιχειρήσεις των μέτρων στήριξης που έχει λάβει η κυβέρνηση για την στήριξη της οικονομίας. Η συντριπτική πλειοψηφία των επιχειρήσεων (83,8%) αξιοποίησε τουλάχιστον 1 από τα μέτρα στήριξης της κυβέρνησης το προηγούμενο εξάμηνο. Επιπλέον 1 στις 3 επιχειρήσεις (33%) αξιοποίησαν το προηγούμενο εξάμηνο τουλάχιστον 3 από τα μέτρα στήριξης που έλαβε η κυβέρνηση. </w:t>
      </w:r>
    </w:p>
    <w:bookmarkEnd w:id="29"/>
    <w:p w14:paraId="7F81D149" w14:textId="5BD95F8C" w:rsidR="00985D49" w:rsidRPr="00E36734" w:rsidRDefault="00985D49" w:rsidP="00204FC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Για τις μικρές και πολύ μικρές επιχειρήσεις που απασχολούν προσωπικό η αναστολή συμβάσεων εργασίας αποτέλεσε το μέτρο που αξιοποίησαν περισσότερο</w:t>
      </w:r>
      <w:r w:rsidR="007E56A7" w:rsidRPr="00E36734">
        <w:rPr>
          <w:rFonts w:ascii="Times New Roman" w:eastAsia="Times New Roman" w:hAnsi="Times New Roman" w:cs="Times New Roman"/>
          <w:bCs/>
          <w:sz w:val="24"/>
          <w:szCs w:val="24"/>
          <w:lang w:eastAsia="el-GR"/>
        </w:rPr>
        <w:t xml:space="preserve"> μεταξύ εκείνων που υιοθετήθηκαν για τη συγκράτηση της απασχόλησης</w:t>
      </w:r>
      <w:r w:rsidRPr="00E36734">
        <w:rPr>
          <w:rFonts w:ascii="Times New Roman" w:eastAsia="Times New Roman" w:hAnsi="Times New Roman" w:cs="Times New Roman"/>
          <w:bCs/>
          <w:sz w:val="24"/>
          <w:szCs w:val="24"/>
          <w:lang w:eastAsia="el-GR"/>
        </w:rPr>
        <w:t>. Συγκεκριμένα περισσότερες από τις μισές μικρές και πολύ μικρές επιχειρήσεις (55,6%) που απασχολούν προσωπικό προχώρησαν σε αναστολή συμβάσεων εργασίας το Β εξάμηνο του 2020. Από τα υπόλοιπα μέτρα στήριξης της απασχόλησης το 13,3% έκανε χρήση του προγράμματος ΣΥΝ-ΕΡΓΑΣΙΑ, το 12,6% αξιοποίησε το καθεστώς της τηλεργασίας, ενώ το 4,3% και 3% αξιοποίησαν τα προγράμματα του ΟΑΕΔ για την δημιουργία νέων θέσεων εργασίας και του προγράμματος δημιουργίας 100.000 νέων θέσεων εργασίας αντίστοιχα</w:t>
      </w:r>
      <w:r w:rsidR="00B63BE3" w:rsidRPr="00E36734">
        <w:rPr>
          <w:rFonts w:ascii="Times New Roman" w:eastAsia="Times New Roman" w:hAnsi="Times New Roman" w:cs="Times New Roman"/>
          <w:bCs/>
          <w:sz w:val="24"/>
          <w:szCs w:val="24"/>
          <w:lang w:eastAsia="el-GR"/>
        </w:rPr>
        <w:t xml:space="preserve"> (Γράφημα 18</w:t>
      </w:r>
      <w:r w:rsidR="00B46D0E"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 xml:space="preserve">. </w:t>
      </w:r>
    </w:p>
    <w:p w14:paraId="138A354B" w14:textId="77777777" w:rsidR="00CC546C" w:rsidRPr="00E36734" w:rsidRDefault="00CC546C" w:rsidP="00204FC2">
      <w:pPr>
        <w:spacing w:after="0" w:line="360" w:lineRule="auto"/>
        <w:jc w:val="both"/>
        <w:rPr>
          <w:rFonts w:ascii="Times New Roman" w:eastAsia="Times New Roman" w:hAnsi="Times New Roman" w:cs="Times New Roman"/>
          <w:bCs/>
          <w:sz w:val="24"/>
          <w:szCs w:val="24"/>
          <w:lang w:eastAsia="el-GR"/>
        </w:rPr>
      </w:pPr>
    </w:p>
    <w:p w14:paraId="0450C847" w14:textId="72D84CB5" w:rsidR="00223FF0" w:rsidRPr="00E36734" w:rsidRDefault="00B63BE3" w:rsidP="00223FF0">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18</w:t>
      </w:r>
    </w:p>
    <w:p w14:paraId="0224E484" w14:textId="77777777" w:rsidR="00985D49" w:rsidRPr="00E36734" w:rsidRDefault="00985D49" w:rsidP="00985D49">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Το προηγούμενο εξάμηνο και λόγω των συνθηκών που διαμόρφωσε η υγειονομική κρίση: </w:t>
      </w:r>
      <w:r w:rsidRPr="00E36734">
        <w:rPr>
          <w:rFonts w:ascii="Times New Roman" w:eastAsia="Times New Roman" w:hAnsi="Times New Roman" w:cs="Times New Roman"/>
          <w:b/>
          <w:sz w:val="24"/>
          <w:szCs w:val="24"/>
          <w:lang w:eastAsia="el-GR"/>
        </w:rPr>
        <w:br/>
        <w:t>-ΒΑΣΗ: Όσοι έχουν δηλώσει ότι απασχολούν αμειβόμενο προσωπικό-</w:t>
      </w:r>
    </w:p>
    <w:p w14:paraId="5C5F526D" w14:textId="77777777" w:rsidR="00985D49" w:rsidRPr="00E36734" w:rsidRDefault="00985D49" w:rsidP="00985D49">
      <w:pPr>
        <w:spacing w:after="0" w:line="360" w:lineRule="auto"/>
        <w:jc w:val="both"/>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noProof/>
          <w:sz w:val="24"/>
          <w:szCs w:val="24"/>
          <w:lang w:eastAsia="el-GR"/>
        </w:rPr>
        <w:drawing>
          <wp:inline distT="0" distB="0" distL="0" distR="0" wp14:anchorId="5E60C2DE" wp14:editId="4120B928">
            <wp:extent cx="6570980" cy="3131820"/>
            <wp:effectExtent l="0" t="0" r="1270" b="11430"/>
            <wp:docPr id="17" name="Γράφημα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B05A48D" w14:textId="77777777" w:rsidR="00CC546C" w:rsidRPr="00E36734" w:rsidRDefault="00CC546C" w:rsidP="00C06B19">
      <w:pPr>
        <w:spacing w:after="0" w:line="360" w:lineRule="auto"/>
        <w:jc w:val="both"/>
        <w:rPr>
          <w:rFonts w:ascii="Times New Roman" w:eastAsia="Times New Roman" w:hAnsi="Times New Roman" w:cs="Times New Roman"/>
          <w:b/>
          <w:sz w:val="24"/>
          <w:szCs w:val="24"/>
          <w:lang w:eastAsia="el-GR"/>
        </w:rPr>
      </w:pPr>
    </w:p>
    <w:p w14:paraId="23A3F3D3" w14:textId="5CACDA1A" w:rsidR="00985D49" w:rsidRPr="00E36734" w:rsidRDefault="00985D49" w:rsidP="00C06B1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Στο σύνολο των επιχειρήσεων, </w:t>
      </w:r>
      <w:r w:rsidR="00C06B19" w:rsidRPr="00E36734">
        <w:rPr>
          <w:rFonts w:ascii="Times New Roman" w:eastAsia="Times New Roman" w:hAnsi="Times New Roman" w:cs="Times New Roman"/>
          <w:bCs/>
          <w:sz w:val="24"/>
          <w:szCs w:val="24"/>
          <w:lang w:eastAsia="el-GR"/>
        </w:rPr>
        <w:t xml:space="preserve">τη μεγαλύτερη απήχηση φαίνεται πως είχαν οι επιστρεπτέες προκαταβολές που αποτελούν άλλωστε και το σημαντικότερο χρηματοδοτικό εργαλείο ενίσχυσης της ρευστότητας ειδικά </w:t>
      </w:r>
      <w:r w:rsidR="00C06B19" w:rsidRPr="00E36734">
        <w:rPr>
          <w:rFonts w:ascii="Times New Roman" w:eastAsia="Times New Roman" w:hAnsi="Times New Roman" w:cs="Times New Roman"/>
          <w:bCs/>
          <w:sz w:val="24"/>
          <w:szCs w:val="24"/>
          <w:lang w:eastAsia="el-GR"/>
        </w:rPr>
        <w:lastRenderedPageBreak/>
        <w:t>για τις μικρές και πολύ μικρές επιχειρήσεις που διαχρονικά είναι «αποκλεισμένες» από το χρηματοπιστωτικό σύστημα. Συγκεκριμένα</w:t>
      </w:r>
      <w:r w:rsidR="00B46D0E" w:rsidRPr="00E36734">
        <w:rPr>
          <w:rFonts w:ascii="Times New Roman" w:eastAsia="Times New Roman" w:hAnsi="Times New Roman" w:cs="Times New Roman"/>
          <w:bCs/>
          <w:sz w:val="24"/>
          <w:szCs w:val="24"/>
          <w:lang w:eastAsia="el-GR"/>
        </w:rPr>
        <w:t>,</w:t>
      </w:r>
      <w:r w:rsidR="00C06B19" w:rsidRPr="00E36734">
        <w:rPr>
          <w:rFonts w:ascii="Times New Roman" w:eastAsia="Times New Roman" w:hAnsi="Times New Roman" w:cs="Times New Roman"/>
          <w:bCs/>
          <w:sz w:val="24"/>
          <w:szCs w:val="24"/>
          <w:lang w:eastAsia="el-GR"/>
        </w:rPr>
        <w:t xml:space="preserve"> </w:t>
      </w:r>
      <w:bookmarkStart w:id="30" w:name="_Hlk68090924"/>
      <w:r w:rsidR="00C06B19" w:rsidRPr="00E36734">
        <w:rPr>
          <w:rFonts w:ascii="Times New Roman" w:eastAsia="Times New Roman" w:hAnsi="Times New Roman" w:cs="Times New Roman"/>
          <w:bCs/>
          <w:sz w:val="24"/>
          <w:szCs w:val="24"/>
          <w:lang w:eastAsia="el-GR"/>
        </w:rPr>
        <w:t>περισσότερες από 6 στις 10 επιχειρήσεις (63,7%) έκαναν χρήση των επιστρεπτέων προκαταβολών το προηγούμενο εξάμηνο και ακολουθούν οι ρυθμίσεις για την μείωση ενοικίου (38,8%), η αναστολή των φορολογικών υποχρεώσεων (22,5%) και η αναστολή πληρωμής επιταγών (9,5%)</w:t>
      </w:r>
      <w:r w:rsidR="00B46D0E" w:rsidRPr="00E36734">
        <w:rPr>
          <w:rFonts w:ascii="Times New Roman" w:eastAsia="Times New Roman" w:hAnsi="Times New Roman" w:cs="Times New Roman"/>
          <w:bCs/>
          <w:sz w:val="24"/>
          <w:szCs w:val="24"/>
          <w:lang w:eastAsia="el-GR"/>
        </w:rPr>
        <w:t xml:space="preserve"> </w:t>
      </w:r>
      <w:bookmarkEnd w:id="30"/>
      <w:r w:rsidR="00B63BE3" w:rsidRPr="00E36734">
        <w:rPr>
          <w:rFonts w:ascii="Times New Roman" w:eastAsia="Times New Roman" w:hAnsi="Times New Roman" w:cs="Times New Roman"/>
          <w:bCs/>
          <w:sz w:val="24"/>
          <w:szCs w:val="24"/>
          <w:lang w:eastAsia="el-GR"/>
        </w:rPr>
        <w:t>(Γράφημα 19</w:t>
      </w:r>
      <w:r w:rsidR="00B46D0E" w:rsidRPr="00E36734">
        <w:rPr>
          <w:rFonts w:ascii="Times New Roman" w:eastAsia="Times New Roman" w:hAnsi="Times New Roman" w:cs="Times New Roman"/>
          <w:bCs/>
          <w:sz w:val="24"/>
          <w:szCs w:val="24"/>
          <w:lang w:eastAsia="el-GR"/>
        </w:rPr>
        <w:t>)</w:t>
      </w:r>
      <w:r w:rsidR="00C06B19" w:rsidRPr="00E36734">
        <w:rPr>
          <w:rFonts w:ascii="Times New Roman" w:eastAsia="Times New Roman" w:hAnsi="Times New Roman" w:cs="Times New Roman"/>
          <w:bCs/>
          <w:sz w:val="24"/>
          <w:szCs w:val="24"/>
          <w:lang w:eastAsia="el-GR"/>
        </w:rPr>
        <w:t>.</w:t>
      </w:r>
    </w:p>
    <w:p w14:paraId="7409E4F2" w14:textId="5D4E2B45" w:rsidR="00985D49" w:rsidRPr="00E36734" w:rsidRDefault="00B63BE3" w:rsidP="00B46D0E">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19</w:t>
      </w:r>
    </w:p>
    <w:p w14:paraId="659FC41D" w14:textId="39119EE7" w:rsidR="00E445BB" w:rsidRPr="00E36734" w:rsidRDefault="00223FF0" w:rsidP="00223FF0">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Ποια από τα παρακάτω μέτρα στήριξης που έλαβε η κυβέρνηση </w:t>
      </w:r>
      <w:r w:rsidRPr="00E36734">
        <w:rPr>
          <w:rFonts w:ascii="Times New Roman" w:eastAsia="Times New Roman" w:hAnsi="Times New Roman" w:cs="Times New Roman"/>
          <w:b/>
          <w:sz w:val="24"/>
          <w:szCs w:val="24"/>
          <w:lang w:eastAsia="el-GR"/>
        </w:rPr>
        <w:br/>
        <w:t>κάνατε χρήση το προηγούμενο εξάμηνο:</w:t>
      </w:r>
    </w:p>
    <w:p w14:paraId="7C7A4E0A" w14:textId="70AD7B38" w:rsidR="00E445BB" w:rsidRPr="00E36734" w:rsidRDefault="00E445BB" w:rsidP="00143079">
      <w:pPr>
        <w:spacing w:after="0" w:line="360" w:lineRule="auto"/>
        <w:jc w:val="both"/>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noProof/>
          <w:sz w:val="24"/>
          <w:szCs w:val="24"/>
          <w:lang w:eastAsia="el-GR"/>
        </w:rPr>
        <w:drawing>
          <wp:inline distT="0" distB="0" distL="0" distR="0" wp14:anchorId="4A5D11E6" wp14:editId="2A200C75">
            <wp:extent cx="6570980" cy="3034665"/>
            <wp:effectExtent l="0" t="0" r="1270" b="13335"/>
            <wp:docPr id="16" name="Γράφημα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506DDF" w14:textId="77777777" w:rsidR="00E445BB" w:rsidRPr="00E36734" w:rsidRDefault="00E445BB" w:rsidP="00143079">
      <w:pPr>
        <w:spacing w:after="0" w:line="360" w:lineRule="auto"/>
        <w:jc w:val="both"/>
        <w:rPr>
          <w:rFonts w:ascii="Times New Roman" w:eastAsia="Times New Roman" w:hAnsi="Times New Roman" w:cs="Times New Roman"/>
          <w:b/>
          <w:sz w:val="24"/>
          <w:szCs w:val="24"/>
          <w:lang w:eastAsia="el-GR"/>
        </w:rPr>
      </w:pPr>
    </w:p>
    <w:p w14:paraId="12508000" w14:textId="1F015349" w:rsidR="00E445BB" w:rsidRPr="00E36734" w:rsidRDefault="00884AC9" w:rsidP="00143079">
      <w:pPr>
        <w:spacing w:after="0" w:line="360" w:lineRule="auto"/>
        <w:jc w:val="both"/>
        <w:rPr>
          <w:rFonts w:ascii="Times New Roman" w:eastAsia="Times New Roman" w:hAnsi="Times New Roman" w:cs="Times New Roman"/>
          <w:bCs/>
          <w:sz w:val="24"/>
          <w:szCs w:val="24"/>
          <w:lang w:eastAsia="el-GR"/>
        </w:rPr>
      </w:pPr>
      <w:bookmarkStart w:id="31" w:name="_Hlk68090840"/>
      <w:r w:rsidRPr="00E36734">
        <w:rPr>
          <w:rFonts w:ascii="Times New Roman" w:eastAsia="Times New Roman" w:hAnsi="Times New Roman" w:cs="Times New Roman"/>
          <w:bCs/>
          <w:sz w:val="24"/>
          <w:szCs w:val="24"/>
          <w:lang w:eastAsia="el-GR"/>
        </w:rPr>
        <w:t xml:space="preserve">Οι επιστρεπτέες προκαταβολές θεωρούνται από το μεγαλύτερο μέρος των μικρών και πολύ μικρών επιχειρήσεων ως το σημαντικότερο μέτρο για την </w:t>
      </w:r>
      <w:r w:rsidR="003A31D9" w:rsidRPr="00E36734">
        <w:rPr>
          <w:rFonts w:ascii="Times New Roman" w:eastAsia="Times New Roman" w:hAnsi="Times New Roman" w:cs="Times New Roman"/>
          <w:bCs/>
          <w:sz w:val="24"/>
          <w:szCs w:val="24"/>
          <w:lang w:eastAsia="el-GR"/>
        </w:rPr>
        <w:t>ενίσχυση</w:t>
      </w:r>
      <w:r w:rsidRPr="00E36734">
        <w:rPr>
          <w:rFonts w:ascii="Times New Roman" w:eastAsia="Times New Roman" w:hAnsi="Times New Roman" w:cs="Times New Roman"/>
          <w:bCs/>
          <w:sz w:val="24"/>
          <w:szCs w:val="24"/>
          <w:lang w:eastAsia="el-GR"/>
        </w:rPr>
        <w:t xml:space="preserve"> τους. Συγκεκριμένα σχεδόν 4 στις 10 μικρές και πολύ μικρές </w:t>
      </w:r>
      <w:r w:rsidR="003A31D9" w:rsidRPr="00E36734">
        <w:rPr>
          <w:rFonts w:ascii="Times New Roman" w:eastAsia="Times New Roman" w:hAnsi="Times New Roman" w:cs="Times New Roman"/>
          <w:bCs/>
          <w:sz w:val="24"/>
          <w:szCs w:val="24"/>
          <w:lang w:eastAsia="el-GR"/>
        </w:rPr>
        <w:t>επιχειρήσεις</w:t>
      </w:r>
      <w:r w:rsidRPr="00E36734">
        <w:rPr>
          <w:rFonts w:ascii="Times New Roman" w:eastAsia="Times New Roman" w:hAnsi="Times New Roman" w:cs="Times New Roman"/>
          <w:bCs/>
          <w:sz w:val="24"/>
          <w:szCs w:val="24"/>
          <w:lang w:eastAsia="el-GR"/>
        </w:rPr>
        <w:t xml:space="preserve"> ( 37,8%) θεωρούν πως </w:t>
      </w:r>
      <w:r w:rsidR="003A31D9" w:rsidRPr="00E36734">
        <w:rPr>
          <w:rFonts w:ascii="Times New Roman" w:eastAsia="Times New Roman" w:hAnsi="Times New Roman" w:cs="Times New Roman"/>
          <w:bCs/>
          <w:sz w:val="24"/>
          <w:szCs w:val="24"/>
          <w:lang w:eastAsia="el-GR"/>
        </w:rPr>
        <w:t xml:space="preserve">οι επιστρεπτέες προκαταβολές είναι το σημαντικότερο μέτρο στήριξής τους και ακολουθούν η μείωση/απαλλαγή ενοικίου (14,6%) η αναστολή φορολογικών/ασφαλιστικών υποχρεώσεων (13,6%), η αναστολή συμβάσεων εργασίας (8%) η τραπεζική δανειοδότηση με την εγγύηση του ελληνικού δημοσίου (8%), η αναστολή πληρωμής επιταγών για 75 ημέρες (2,2%) ενώ τελευταία κατατάσσονται τα προγράμματα δημιουργίας νέων θέσεων εργασίας του ΟΑΕΔ (1,2%), </w:t>
      </w:r>
      <w:r w:rsidRPr="00E36734">
        <w:rPr>
          <w:rFonts w:ascii="Times New Roman" w:eastAsia="Times New Roman" w:hAnsi="Times New Roman" w:cs="Times New Roman"/>
          <w:bCs/>
          <w:sz w:val="24"/>
          <w:szCs w:val="24"/>
          <w:lang w:eastAsia="el-GR"/>
        </w:rPr>
        <w:t xml:space="preserve"> </w:t>
      </w:r>
      <w:r w:rsidR="003A31D9" w:rsidRPr="00E36734">
        <w:rPr>
          <w:rFonts w:ascii="Times New Roman" w:eastAsia="Times New Roman" w:hAnsi="Times New Roman" w:cs="Times New Roman"/>
          <w:bCs/>
          <w:sz w:val="24"/>
          <w:szCs w:val="24"/>
          <w:lang w:eastAsia="el-GR"/>
        </w:rPr>
        <w:t>το πρόγραμμα δημιουργίας 100.000 θέσεων εργασίας (0,9%) και το πρόγραμμα ΣΥΝ-ΕΡΓΑΣΙΑ (0,3%)</w:t>
      </w:r>
      <w:bookmarkEnd w:id="31"/>
      <w:r w:rsidR="00B46D0E" w:rsidRPr="00E36734">
        <w:rPr>
          <w:rFonts w:ascii="Times New Roman" w:eastAsia="Times New Roman" w:hAnsi="Times New Roman" w:cs="Times New Roman"/>
          <w:bCs/>
          <w:sz w:val="24"/>
          <w:szCs w:val="24"/>
          <w:lang w:eastAsia="el-GR"/>
        </w:rPr>
        <w:t xml:space="preserve"> (Γράφημα </w:t>
      </w:r>
      <w:r w:rsidR="00B63BE3" w:rsidRPr="00E36734">
        <w:rPr>
          <w:rFonts w:ascii="Times New Roman" w:eastAsia="Times New Roman" w:hAnsi="Times New Roman" w:cs="Times New Roman"/>
          <w:bCs/>
          <w:sz w:val="24"/>
          <w:szCs w:val="24"/>
          <w:lang w:eastAsia="el-GR"/>
        </w:rPr>
        <w:t>20</w:t>
      </w:r>
      <w:r w:rsidR="00B46D0E" w:rsidRPr="00E36734">
        <w:rPr>
          <w:rFonts w:ascii="Times New Roman" w:eastAsia="Times New Roman" w:hAnsi="Times New Roman" w:cs="Times New Roman"/>
          <w:bCs/>
          <w:sz w:val="24"/>
          <w:szCs w:val="24"/>
          <w:lang w:eastAsia="el-GR"/>
        </w:rPr>
        <w:t>)</w:t>
      </w:r>
      <w:r w:rsidR="003A31D9" w:rsidRPr="00E36734">
        <w:rPr>
          <w:rFonts w:ascii="Times New Roman" w:eastAsia="Times New Roman" w:hAnsi="Times New Roman" w:cs="Times New Roman"/>
          <w:bCs/>
          <w:sz w:val="24"/>
          <w:szCs w:val="24"/>
          <w:lang w:eastAsia="el-GR"/>
        </w:rPr>
        <w:t>.</w:t>
      </w:r>
    </w:p>
    <w:p w14:paraId="22B1CD98" w14:textId="77777777" w:rsidR="00E445BB" w:rsidRPr="00E36734" w:rsidRDefault="00E445BB" w:rsidP="00143079">
      <w:pPr>
        <w:spacing w:after="0" w:line="360" w:lineRule="auto"/>
        <w:jc w:val="both"/>
        <w:rPr>
          <w:rFonts w:ascii="Times New Roman" w:eastAsia="Times New Roman" w:hAnsi="Times New Roman" w:cs="Times New Roman"/>
          <w:bCs/>
          <w:sz w:val="24"/>
          <w:szCs w:val="24"/>
          <w:lang w:eastAsia="el-GR"/>
        </w:rPr>
      </w:pPr>
    </w:p>
    <w:p w14:paraId="35218B66" w14:textId="6CB17C29" w:rsidR="00E445BB" w:rsidRPr="00E36734" w:rsidRDefault="00E445BB" w:rsidP="00143079">
      <w:pPr>
        <w:spacing w:after="0" w:line="360" w:lineRule="auto"/>
        <w:jc w:val="both"/>
        <w:rPr>
          <w:rFonts w:ascii="Times New Roman" w:eastAsia="Times New Roman" w:hAnsi="Times New Roman" w:cs="Times New Roman"/>
          <w:b/>
          <w:sz w:val="24"/>
          <w:szCs w:val="24"/>
          <w:lang w:eastAsia="el-GR"/>
        </w:rPr>
      </w:pPr>
    </w:p>
    <w:p w14:paraId="6FF52D93" w14:textId="2BE243D5" w:rsidR="008D6CAD" w:rsidRPr="00E36734" w:rsidRDefault="008D6CAD" w:rsidP="00143079">
      <w:pPr>
        <w:spacing w:after="0" w:line="360" w:lineRule="auto"/>
        <w:jc w:val="both"/>
        <w:rPr>
          <w:rFonts w:ascii="Times New Roman" w:eastAsia="Times New Roman" w:hAnsi="Times New Roman" w:cs="Times New Roman"/>
          <w:b/>
          <w:sz w:val="24"/>
          <w:szCs w:val="24"/>
          <w:lang w:eastAsia="el-GR"/>
        </w:rPr>
      </w:pPr>
    </w:p>
    <w:p w14:paraId="22511DB8" w14:textId="77777777" w:rsidR="008D6CAD" w:rsidRPr="00E36734" w:rsidRDefault="008D6CAD" w:rsidP="00143079">
      <w:pPr>
        <w:spacing w:after="0" w:line="360" w:lineRule="auto"/>
        <w:jc w:val="both"/>
        <w:rPr>
          <w:rFonts w:ascii="Times New Roman" w:eastAsia="Times New Roman" w:hAnsi="Times New Roman" w:cs="Times New Roman"/>
          <w:b/>
          <w:sz w:val="24"/>
          <w:szCs w:val="24"/>
          <w:lang w:eastAsia="el-GR"/>
        </w:rPr>
      </w:pPr>
    </w:p>
    <w:p w14:paraId="327A5A43" w14:textId="4AEB813B" w:rsidR="00B46D0E" w:rsidRPr="00E36734" w:rsidRDefault="00B63BE3" w:rsidP="00884AC9">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lastRenderedPageBreak/>
        <w:t>Γράφημα 20</w:t>
      </w:r>
    </w:p>
    <w:p w14:paraId="509F68EA" w14:textId="0BEA3184" w:rsidR="00E445BB" w:rsidRPr="00E36734" w:rsidRDefault="00884AC9" w:rsidP="00884AC9">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 xml:space="preserve">Ποια από τα παρακάτω μέτρα στήριξης που έχει λάβει η κυβέρνηση είναι κατά την γνώμη σας  </w:t>
      </w:r>
      <w:r w:rsidRPr="00E36734">
        <w:rPr>
          <w:rFonts w:ascii="Times New Roman" w:eastAsia="Times New Roman" w:hAnsi="Times New Roman" w:cs="Times New Roman"/>
          <w:b/>
          <w:sz w:val="24"/>
          <w:szCs w:val="24"/>
          <w:lang w:eastAsia="el-GR"/>
        </w:rPr>
        <w:br/>
        <w:t>το σημαντικότερο για την ενίσχυση των επιχειρήσεων;</w:t>
      </w:r>
    </w:p>
    <w:p w14:paraId="302D5EE1" w14:textId="6393E61E" w:rsidR="00E445BB" w:rsidRPr="00E36734" w:rsidRDefault="00C06B19" w:rsidP="00143079">
      <w:pPr>
        <w:spacing w:after="0" w:line="360" w:lineRule="auto"/>
        <w:jc w:val="both"/>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noProof/>
          <w:sz w:val="24"/>
          <w:szCs w:val="24"/>
          <w:lang w:eastAsia="el-GR"/>
        </w:rPr>
        <w:drawing>
          <wp:inline distT="0" distB="0" distL="0" distR="0" wp14:anchorId="22AED99E" wp14:editId="4697F085">
            <wp:extent cx="6570980" cy="3634740"/>
            <wp:effectExtent l="0" t="0" r="1270" b="3810"/>
            <wp:docPr id="19" name="Γράφημα 19">
              <a:extLst xmlns:a="http://schemas.openxmlformats.org/drawingml/2006/main">
                <a:ext uri="{FF2B5EF4-FFF2-40B4-BE49-F238E27FC236}">
                  <a16:creationId xmlns:a16="http://schemas.microsoft.com/office/drawing/2014/main"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5306AB5" w14:textId="77777777" w:rsidR="00CC546C" w:rsidRPr="00E36734" w:rsidRDefault="00CC546C" w:rsidP="00143079">
      <w:pPr>
        <w:spacing w:after="0" w:line="360" w:lineRule="auto"/>
        <w:jc w:val="both"/>
        <w:rPr>
          <w:rFonts w:ascii="Times New Roman" w:eastAsia="Times New Roman" w:hAnsi="Times New Roman" w:cs="Times New Roman"/>
          <w:b/>
          <w:sz w:val="24"/>
          <w:szCs w:val="24"/>
          <w:lang w:eastAsia="el-GR"/>
        </w:rPr>
      </w:pPr>
    </w:p>
    <w:p w14:paraId="77602D88" w14:textId="6D7A8601" w:rsidR="00B46D0E" w:rsidRPr="00E36734" w:rsidRDefault="00B46D0E" w:rsidP="0014307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Ειδικότερα για τις επιστρεπτέες προκαταβολές, σχεδόν 2 στις 10 μικρές και πολύ μικρές επιχειρήσεις (18,4%) έλαβαν οικονομική ενίσχυση ύψους έως 1000 €, το 12,4% από 1001-2000€, το 8% από 2001-3000€, το 9,2% από 3001-4000€, το 6,1% από 4001-5000€, το 5,3% από 5001-7000€, το 8,8% από 7001-10000€, το 9,9% από 10001-20000€, το 7,3% από 20001-50000 και το 7,1% πάνω από 50000.</w:t>
      </w:r>
    </w:p>
    <w:p w14:paraId="3FE32EF2" w14:textId="1306839B" w:rsidR="00B46D0E" w:rsidRPr="00E36734" w:rsidRDefault="00B63BE3" w:rsidP="00B46D0E">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Όπως φαίνεται στο Γράφημα 21</w:t>
      </w:r>
      <w:r w:rsidR="00B46D0E" w:rsidRPr="00E36734">
        <w:rPr>
          <w:rFonts w:ascii="Times New Roman" w:eastAsia="Times New Roman" w:hAnsi="Times New Roman" w:cs="Times New Roman"/>
          <w:bCs/>
          <w:sz w:val="24"/>
          <w:szCs w:val="24"/>
          <w:lang w:eastAsia="el-GR"/>
        </w:rPr>
        <w:t xml:space="preserve"> </w:t>
      </w:r>
      <w:bookmarkStart w:id="32" w:name="_Hlk68090874"/>
      <w:r w:rsidR="007252E8" w:rsidRPr="00E36734">
        <w:rPr>
          <w:rFonts w:ascii="Times New Roman" w:eastAsia="Times New Roman" w:hAnsi="Times New Roman" w:cs="Times New Roman"/>
          <w:bCs/>
          <w:sz w:val="24"/>
          <w:szCs w:val="24"/>
          <w:lang w:eastAsia="el-GR"/>
        </w:rPr>
        <w:t>περισσότερες από τις μισές</w:t>
      </w:r>
      <w:r w:rsidR="00B46D0E" w:rsidRPr="00E36734">
        <w:rPr>
          <w:rFonts w:ascii="Times New Roman" w:eastAsia="Times New Roman" w:hAnsi="Times New Roman" w:cs="Times New Roman"/>
          <w:bCs/>
          <w:sz w:val="24"/>
          <w:szCs w:val="24"/>
          <w:lang w:eastAsia="el-GR"/>
        </w:rPr>
        <w:t xml:space="preserve"> επιχειρήσεις (</w:t>
      </w:r>
      <w:r w:rsidR="007252E8" w:rsidRPr="00E36734">
        <w:rPr>
          <w:rFonts w:ascii="Times New Roman" w:eastAsia="Times New Roman" w:hAnsi="Times New Roman" w:cs="Times New Roman"/>
          <w:bCs/>
          <w:sz w:val="24"/>
          <w:szCs w:val="24"/>
          <w:lang w:eastAsia="el-GR"/>
        </w:rPr>
        <w:t>54,1</w:t>
      </w:r>
      <w:r w:rsidR="00B46D0E" w:rsidRPr="00E36734">
        <w:rPr>
          <w:rFonts w:ascii="Times New Roman" w:eastAsia="Times New Roman" w:hAnsi="Times New Roman" w:cs="Times New Roman"/>
          <w:bCs/>
          <w:sz w:val="24"/>
          <w:szCs w:val="24"/>
          <w:lang w:eastAsia="el-GR"/>
        </w:rPr>
        <w:t xml:space="preserve">%) έλαβαν χρηματοδότηση ύψους έως </w:t>
      </w:r>
      <w:r w:rsidR="007252E8" w:rsidRPr="00E36734">
        <w:rPr>
          <w:rFonts w:ascii="Times New Roman" w:eastAsia="Times New Roman" w:hAnsi="Times New Roman" w:cs="Times New Roman"/>
          <w:bCs/>
          <w:sz w:val="24"/>
          <w:szCs w:val="24"/>
          <w:lang w:eastAsia="el-GR"/>
        </w:rPr>
        <w:t>5</w:t>
      </w:r>
      <w:r w:rsidR="00B46D0E" w:rsidRPr="00E36734">
        <w:rPr>
          <w:rFonts w:ascii="Times New Roman" w:eastAsia="Times New Roman" w:hAnsi="Times New Roman" w:cs="Times New Roman"/>
          <w:bCs/>
          <w:sz w:val="24"/>
          <w:szCs w:val="24"/>
          <w:lang w:eastAsia="el-GR"/>
        </w:rPr>
        <w:t xml:space="preserve">.000 €, ενώ ο </w:t>
      </w:r>
      <w:r w:rsidR="00B46D0E" w:rsidRPr="00E36734">
        <w:rPr>
          <w:rFonts w:ascii="Times New Roman" w:eastAsia="Times New Roman" w:hAnsi="Times New Roman" w:cs="Times New Roman"/>
          <w:bCs/>
          <w:sz w:val="24"/>
          <w:szCs w:val="24"/>
          <w:u w:val="single"/>
          <w:lang w:eastAsia="el-GR"/>
        </w:rPr>
        <w:t>μέσος όρος</w:t>
      </w:r>
      <w:r w:rsidR="00B46D0E" w:rsidRPr="00E36734">
        <w:rPr>
          <w:rFonts w:ascii="Times New Roman" w:eastAsia="Times New Roman" w:hAnsi="Times New Roman" w:cs="Times New Roman"/>
          <w:bCs/>
          <w:sz w:val="24"/>
          <w:szCs w:val="24"/>
          <w:lang w:eastAsia="el-GR"/>
        </w:rPr>
        <w:t xml:space="preserve"> των ενισχύσεων που δόθηκαν από τις επιστρεπτέες προκαταβολές με βάση τα στοιχεία της έρευνας εκτιμάται στα 23.500 €. </w:t>
      </w:r>
    </w:p>
    <w:bookmarkEnd w:id="32"/>
    <w:p w14:paraId="5D4875FC" w14:textId="77777777" w:rsidR="00B46D0E" w:rsidRPr="00E36734" w:rsidRDefault="00B46D0E" w:rsidP="00143079">
      <w:pPr>
        <w:spacing w:after="0" w:line="360" w:lineRule="auto"/>
        <w:jc w:val="both"/>
        <w:rPr>
          <w:rFonts w:ascii="Times New Roman" w:eastAsia="Times New Roman" w:hAnsi="Times New Roman" w:cs="Times New Roman"/>
          <w:bCs/>
          <w:sz w:val="24"/>
          <w:szCs w:val="24"/>
          <w:lang w:eastAsia="el-GR"/>
        </w:rPr>
      </w:pPr>
    </w:p>
    <w:p w14:paraId="6316806E" w14:textId="77777777" w:rsidR="00B46D0E" w:rsidRPr="00E36734" w:rsidRDefault="00B46D0E" w:rsidP="00B46D0E">
      <w:pPr>
        <w:spacing w:after="0" w:line="360" w:lineRule="auto"/>
        <w:jc w:val="center"/>
        <w:rPr>
          <w:rFonts w:ascii="Times New Roman" w:eastAsia="Times New Roman" w:hAnsi="Times New Roman" w:cs="Times New Roman"/>
          <w:b/>
          <w:sz w:val="24"/>
          <w:szCs w:val="24"/>
          <w:lang w:eastAsia="el-GR"/>
        </w:rPr>
      </w:pPr>
    </w:p>
    <w:p w14:paraId="3877B7CA" w14:textId="46E24E18" w:rsidR="00B46D0E" w:rsidRPr="00E36734" w:rsidRDefault="00B46D0E" w:rsidP="00B46D0E">
      <w:pPr>
        <w:spacing w:after="0" w:line="360" w:lineRule="auto"/>
        <w:jc w:val="center"/>
        <w:rPr>
          <w:rFonts w:ascii="Times New Roman" w:eastAsia="Times New Roman" w:hAnsi="Times New Roman" w:cs="Times New Roman"/>
          <w:b/>
          <w:sz w:val="24"/>
          <w:szCs w:val="24"/>
          <w:lang w:eastAsia="el-GR"/>
        </w:rPr>
      </w:pPr>
    </w:p>
    <w:p w14:paraId="72DAD19F" w14:textId="4FA8B7F9" w:rsidR="00CC546C" w:rsidRPr="00E36734" w:rsidRDefault="00CC546C" w:rsidP="00B46D0E">
      <w:pPr>
        <w:spacing w:after="0" w:line="360" w:lineRule="auto"/>
        <w:jc w:val="center"/>
        <w:rPr>
          <w:rFonts w:ascii="Times New Roman" w:eastAsia="Times New Roman" w:hAnsi="Times New Roman" w:cs="Times New Roman"/>
          <w:b/>
          <w:sz w:val="24"/>
          <w:szCs w:val="24"/>
          <w:lang w:eastAsia="el-GR"/>
        </w:rPr>
      </w:pPr>
    </w:p>
    <w:p w14:paraId="16A6A500" w14:textId="1CEDDF6E" w:rsidR="00CC546C" w:rsidRPr="00E36734" w:rsidRDefault="00CC546C" w:rsidP="00B46D0E">
      <w:pPr>
        <w:spacing w:after="0" w:line="360" w:lineRule="auto"/>
        <w:jc w:val="center"/>
        <w:rPr>
          <w:rFonts w:ascii="Times New Roman" w:eastAsia="Times New Roman" w:hAnsi="Times New Roman" w:cs="Times New Roman"/>
          <w:b/>
          <w:sz w:val="24"/>
          <w:szCs w:val="24"/>
          <w:lang w:eastAsia="el-GR"/>
        </w:rPr>
      </w:pPr>
    </w:p>
    <w:p w14:paraId="6CA152A7" w14:textId="77777777" w:rsidR="008D6CAD" w:rsidRPr="00E36734" w:rsidRDefault="008D6CAD" w:rsidP="00B46D0E">
      <w:pPr>
        <w:spacing w:after="0" w:line="360" w:lineRule="auto"/>
        <w:jc w:val="center"/>
        <w:rPr>
          <w:rFonts w:ascii="Times New Roman" w:eastAsia="Times New Roman" w:hAnsi="Times New Roman" w:cs="Times New Roman"/>
          <w:b/>
          <w:sz w:val="24"/>
          <w:szCs w:val="24"/>
          <w:lang w:eastAsia="el-GR"/>
        </w:rPr>
      </w:pPr>
    </w:p>
    <w:p w14:paraId="4C8FEC33" w14:textId="77777777" w:rsidR="00CC546C" w:rsidRPr="00E36734" w:rsidRDefault="00CC546C" w:rsidP="00B46D0E">
      <w:pPr>
        <w:spacing w:after="0" w:line="360" w:lineRule="auto"/>
        <w:jc w:val="center"/>
        <w:rPr>
          <w:rFonts w:ascii="Times New Roman" w:eastAsia="Times New Roman" w:hAnsi="Times New Roman" w:cs="Times New Roman"/>
          <w:b/>
          <w:sz w:val="24"/>
          <w:szCs w:val="24"/>
          <w:lang w:eastAsia="el-GR"/>
        </w:rPr>
      </w:pPr>
    </w:p>
    <w:p w14:paraId="2236C596" w14:textId="77777777" w:rsidR="00B46D0E" w:rsidRPr="00E36734" w:rsidRDefault="00B46D0E" w:rsidP="00B46D0E">
      <w:pPr>
        <w:spacing w:after="0" w:line="360" w:lineRule="auto"/>
        <w:jc w:val="center"/>
        <w:rPr>
          <w:rFonts w:ascii="Times New Roman" w:eastAsia="Times New Roman" w:hAnsi="Times New Roman" w:cs="Times New Roman"/>
          <w:b/>
          <w:sz w:val="24"/>
          <w:szCs w:val="24"/>
          <w:lang w:eastAsia="el-GR"/>
        </w:rPr>
      </w:pPr>
    </w:p>
    <w:p w14:paraId="330B28CB" w14:textId="6FC8F979" w:rsidR="00B46D0E" w:rsidRPr="00E36734" w:rsidRDefault="00B63BE3" w:rsidP="00B46D0E">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lastRenderedPageBreak/>
        <w:t>Γράφημα 21</w:t>
      </w:r>
    </w:p>
    <w:p w14:paraId="4E28B42F" w14:textId="77777777" w:rsidR="00B46D0E" w:rsidRPr="00E36734" w:rsidRDefault="00B46D0E" w:rsidP="00B46D0E">
      <w:pPr>
        <w:spacing w:after="0" w:line="360" w:lineRule="auto"/>
        <w:jc w:val="center"/>
        <w:rPr>
          <w:rFonts w:ascii="Times New Roman" w:eastAsia="Times New Roman" w:hAnsi="Times New Roman" w:cs="Times New Roman"/>
          <w:b/>
          <w:sz w:val="24"/>
          <w:szCs w:val="24"/>
          <w:lang w:eastAsia="el-GR"/>
        </w:rPr>
      </w:pPr>
      <w:r w:rsidRPr="00E36734">
        <w:rPr>
          <w:noProof/>
          <w:lang w:eastAsia="el-GR"/>
        </w:rPr>
        <mc:AlternateContent>
          <mc:Choice Requires="wps">
            <w:drawing>
              <wp:anchor distT="0" distB="0" distL="114300" distR="114300" simplePos="0" relativeHeight="251660288" behindDoc="0" locked="0" layoutInCell="1" allowOverlap="1" wp14:anchorId="0A955102" wp14:editId="1D517CB7">
                <wp:simplePos x="0" y="0"/>
                <wp:positionH relativeFrom="column">
                  <wp:posOffset>4487545</wp:posOffset>
                </wp:positionH>
                <wp:positionV relativeFrom="paragraph">
                  <wp:posOffset>2567940</wp:posOffset>
                </wp:positionV>
                <wp:extent cx="1872208" cy="449580"/>
                <wp:effectExtent l="0" t="0" r="13970" b="26670"/>
                <wp:wrapNone/>
                <wp:docPr id="29" name="TextBox 1"/>
                <wp:cNvGraphicFramePr/>
                <a:graphic xmlns:a="http://schemas.openxmlformats.org/drawingml/2006/main">
                  <a:graphicData uri="http://schemas.microsoft.com/office/word/2010/wordprocessingShape">
                    <wps:wsp>
                      <wps:cNvSpPr txBox="1"/>
                      <wps:spPr>
                        <a:xfrm>
                          <a:off x="0" y="0"/>
                          <a:ext cx="1872208" cy="449580"/>
                        </a:xfrm>
                        <a:prstGeom prst="rect">
                          <a:avLst/>
                        </a:prstGeom>
                        <a:noFill/>
                        <a:ln>
                          <a:solidFill>
                            <a:sysClr val="windowText" lastClr="000000"/>
                          </a:solidFill>
                        </a:ln>
                      </wps:spPr>
                      <wps:txbx>
                        <w:txbxContent>
                          <w:p w14:paraId="694FBCCE" w14:textId="77777777" w:rsidR="00C83512" w:rsidRDefault="00C83512" w:rsidP="00B46D0E">
                            <w:pPr>
                              <w:textAlignment w:val="baseline"/>
                              <w:rPr>
                                <w:rFonts w:ascii="Microsoft JhengHei UI" w:eastAsia="Microsoft JhengHei UI" w:hAnsi="Microsoft JhengHei UI" w:cs="+mn-cs"/>
                                <w:b/>
                                <w:bCs/>
                                <w:color w:val="000000"/>
                                <w:kern w:val="24"/>
                                <w:sz w:val="32"/>
                                <w:szCs w:val="32"/>
                              </w:rPr>
                            </w:pPr>
                            <w:r>
                              <w:rPr>
                                <w:rFonts w:ascii="Microsoft JhengHei UI" w:eastAsia="Microsoft JhengHei UI" w:hAnsi="Microsoft JhengHei UI" w:cs="+mn-cs" w:hint="eastAsia"/>
                                <w:b/>
                                <w:bCs/>
                                <w:color w:val="000000"/>
                                <w:kern w:val="24"/>
                                <w:sz w:val="32"/>
                                <w:szCs w:val="32"/>
                              </w:rPr>
                              <w:t>Μ.Ο.: € 23.</w:t>
                            </w:r>
                            <w:r>
                              <w:rPr>
                                <w:rFonts w:ascii="Microsoft JhengHei UI" w:eastAsia="Microsoft JhengHei UI" w:hAnsi="Microsoft JhengHei UI" w:cs="+mn-cs"/>
                                <w:b/>
                                <w:bCs/>
                                <w:color w:val="000000"/>
                                <w:kern w:val="24"/>
                                <w:sz w:val="32"/>
                                <w:szCs w:val="32"/>
                              </w:rPr>
                              <w:t>500</w:t>
                            </w:r>
                          </w:p>
                        </w:txbxContent>
                      </wps:txbx>
                      <wps:bodyPr wrap="square" rtlCol="0">
                        <a:noAutofit/>
                      </wps:bodyPr>
                    </wps:wsp>
                  </a:graphicData>
                </a:graphic>
                <wp14:sizeRelV relativeFrom="margin">
                  <wp14:pctHeight>0</wp14:pctHeight>
                </wp14:sizeRelV>
              </wp:anchor>
            </w:drawing>
          </mc:Choice>
          <mc:Fallback>
            <w:pict>
              <v:shape w14:anchorId="0A955102" id="TextBox 1" o:spid="_x0000_s1029" type="#_x0000_t202" style="position:absolute;left:0;text-align:left;margin-left:353.35pt;margin-top:202.2pt;width:147.4pt;height:3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" filled="f" strokecolor="windowText">
                <v:textbox>
                  <w:txbxContent>
                    <w:p w14:paraId="694FBCCE" w14:textId="77777777" w:rsidR="00C83512" w:rsidRDefault="00C83512" w:rsidP="00B46D0E">
                      <w:pPr>
                        <w:textAlignment w:val="baseline"/>
                        <w:rPr>
                          <w:rFonts w:ascii="Microsoft JhengHei UI" w:eastAsia="Microsoft JhengHei UI" w:hAnsi="Microsoft JhengHei UI" w:cs="+mn-cs"/>
                          <w:b/>
                          <w:bCs/>
                          <w:color w:val="000000"/>
                          <w:kern w:val="24"/>
                          <w:sz w:val="32"/>
                          <w:szCs w:val="32"/>
                        </w:rPr>
                      </w:pPr>
                      <w:r>
                        <w:rPr>
                          <w:rFonts w:ascii="Microsoft JhengHei UI" w:eastAsia="Microsoft JhengHei UI" w:hAnsi="Microsoft JhengHei UI" w:cs="+mn-cs" w:hint="eastAsia"/>
                          <w:b/>
                          <w:bCs/>
                          <w:color w:val="000000"/>
                          <w:kern w:val="24"/>
                          <w:sz w:val="32"/>
                          <w:szCs w:val="32"/>
                        </w:rPr>
                        <w:t>Μ.Ο.: € 23.</w:t>
                      </w:r>
                      <w:r>
                        <w:rPr>
                          <w:rFonts w:ascii="Microsoft JhengHei UI" w:eastAsia="Microsoft JhengHei UI" w:hAnsi="Microsoft JhengHei UI" w:cs="+mn-cs"/>
                          <w:b/>
                          <w:bCs/>
                          <w:color w:val="000000"/>
                          <w:kern w:val="24"/>
                          <w:sz w:val="32"/>
                          <w:szCs w:val="32"/>
                        </w:rPr>
                        <w:t>500</w:t>
                      </w:r>
                    </w:p>
                  </w:txbxContent>
                </v:textbox>
              </v:shape>
            </w:pict>
          </mc:Fallback>
        </mc:AlternateContent>
      </w:r>
      <w:r w:rsidRPr="00E36734">
        <w:rPr>
          <w:rFonts w:ascii="Times New Roman" w:eastAsia="Times New Roman" w:hAnsi="Times New Roman" w:cs="Times New Roman"/>
          <w:b/>
          <w:sz w:val="24"/>
          <w:szCs w:val="24"/>
          <w:lang w:eastAsia="el-GR"/>
        </w:rPr>
        <w:t>Ποιο ήταν το ύψος της ενίσχυσης (του ποσού σε ευρώ) που λάβατε;</w:t>
      </w:r>
      <w:r w:rsidRPr="00E36734">
        <w:rPr>
          <w:rFonts w:ascii="Times New Roman" w:eastAsia="Times New Roman" w:hAnsi="Times New Roman" w:cs="Times New Roman"/>
          <w:b/>
          <w:sz w:val="24"/>
          <w:szCs w:val="24"/>
          <w:lang w:eastAsia="el-GR"/>
        </w:rPr>
        <w:br/>
      </w:r>
      <w:r w:rsidRPr="00E36734">
        <w:rPr>
          <w:rFonts w:ascii="Times New Roman" w:eastAsia="Times New Roman" w:hAnsi="Times New Roman" w:cs="Times New Roman"/>
          <w:b/>
          <w:sz w:val="20"/>
          <w:szCs w:val="20"/>
          <w:lang w:eastAsia="el-GR"/>
        </w:rPr>
        <w:t>-Βάση: Όσοι έκαναν χρήση της επιστρεπτέας προκαταβολής (63,7%) το προηγούμενο εξάμηνο -</w:t>
      </w:r>
      <w:r w:rsidRPr="00E36734">
        <w:rPr>
          <w:rFonts w:ascii="Times New Roman" w:eastAsia="Times New Roman" w:hAnsi="Times New Roman" w:cs="Times New Roman"/>
          <w:b/>
          <w:noProof/>
          <w:sz w:val="24"/>
          <w:szCs w:val="24"/>
          <w:lang w:eastAsia="el-GR"/>
        </w:rPr>
        <w:drawing>
          <wp:inline distT="0" distB="0" distL="0" distR="0" wp14:anchorId="5A2A3ACA" wp14:editId="211E4E12">
            <wp:extent cx="6570980" cy="3634740"/>
            <wp:effectExtent l="0" t="0" r="1270" b="3810"/>
            <wp:docPr id="28" name="Γράφημα 28">
              <a:extLst xmlns:a="http://schemas.openxmlformats.org/drawingml/2006/main">
                <a:ext uri="{FF2B5EF4-FFF2-40B4-BE49-F238E27FC236}">
                  <a16:creationId xmlns:a16="http://schemas.microsoft.com/office/drawing/2014/main"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3A1470" w14:textId="4B74E3F4" w:rsidR="008345E1" w:rsidRPr="00E36734" w:rsidRDefault="00B46D0E" w:rsidP="00143079">
      <w:pPr>
        <w:spacing w:after="0" w:line="360" w:lineRule="auto"/>
        <w:jc w:val="both"/>
        <w:rPr>
          <w:rFonts w:ascii="Times New Roman" w:eastAsia="Times New Roman" w:hAnsi="Times New Roman" w:cs="Times New Roman"/>
          <w:bCs/>
          <w:sz w:val="24"/>
          <w:szCs w:val="24"/>
          <w:lang w:eastAsia="el-GR"/>
        </w:rPr>
      </w:pPr>
      <w:bookmarkStart w:id="33" w:name="_Hlk68091001"/>
      <w:r w:rsidRPr="00E36734">
        <w:rPr>
          <w:rFonts w:ascii="Times New Roman" w:eastAsia="Times New Roman" w:hAnsi="Times New Roman" w:cs="Times New Roman"/>
          <w:bCs/>
          <w:sz w:val="24"/>
          <w:szCs w:val="24"/>
          <w:lang w:eastAsia="el-GR"/>
        </w:rPr>
        <w:t xml:space="preserve">Όσον αφορά στην επάρκεια των ποσών ενίσχυσης από τις επιστρεπτέες προκαταβολές </w:t>
      </w:r>
      <w:r w:rsidR="007252E8" w:rsidRPr="00E36734">
        <w:rPr>
          <w:rFonts w:ascii="Times New Roman" w:eastAsia="Times New Roman" w:hAnsi="Times New Roman" w:cs="Times New Roman"/>
          <w:bCs/>
          <w:sz w:val="24"/>
          <w:szCs w:val="24"/>
          <w:lang w:eastAsia="el-GR"/>
        </w:rPr>
        <w:t>6 στις 10 επιχειρήσεις (59%) δήλωσαν πως δεν ήταν αρκετά για να καλύψουν ένα σημαντικό μέρος των</w:t>
      </w:r>
      <w:r w:rsidR="00E170CB" w:rsidRPr="00E36734">
        <w:rPr>
          <w:rFonts w:ascii="Times New Roman" w:eastAsia="Times New Roman" w:hAnsi="Times New Roman" w:cs="Times New Roman"/>
          <w:bCs/>
          <w:sz w:val="24"/>
          <w:szCs w:val="24"/>
          <w:lang w:eastAsia="el-GR"/>
        </w:rPr>
        <w:t xml:space="preserve"> αναγκών </w:t>
      </w:r>
      <w:r w:rsidR="007252E8" w:rsidRPr="00E36734">
        <w:rPr>
          <w:rFonts w:ascii="Times New Roman" w:eastAsia="Times New Roman" w:hAnsi="Times New Roman" w:cs="Times New Roman"/>
          <w:bCs/>
          <w:sz w:val="24"/>
          <w:szCs w:val="24"/>
          <w:lang w:eastAsia="el-GR"/>
        </w:rPr>
        <w:t>τους</w:t>
      </w:r>
      <w:bookmarkEnd w:id="33"/>
      <w:r w:rsidR="007252E8" w:rsidRPr="00E36734">
        <w:rPr>
          <w:rFonts w:ascii="Times New Roman" w:eastAsia="Times New Roman" w:hAnsi="Times New Roman" w:cs="Times New Roman"/>
          <w:bCs/>
          <w:sz w:val="24"/>
          <w:szCs w:val="24"/>
          <w:lang w:eastAsia="el-GR"/>
        </w:rPr>
        <w:t xml:space="preserve"> </w:t>
      </w:r>
      <w:r w:rsidRPr="00E36734">
        <w:rPr>
          <w:rFonts w:ascii="Times New Roman" w:eastAsia="Times New Roman" w:hAnsi="Times New Roman" w:cs="Times New Roman"/>
          <w:bCs/>
          <w:sz w:val="24"/>
          <w:szCs w:val="24"/>
          <w:lang w:eastAsia="el-GR"/>
        </w:rPr>
        <w:t>(Γράφημα 2</w:t>
      </w:r>
      <w:r w:rsidR="00B63BE3" w:rsidRPr="00E36734">
        <w:rPr>
          <w:rFonts w:ascii="Times New Roman" w:eastAsia="Times New Roman" w:hAnsi="Times New Roman" w:cs="Times New Roman"/>
          <w:bCs/>
          <w:sz w:val="24"/>
          <w:szCs w:val="24"/>
          <w:lang w:eastAsia="el-GR"/>
        </w:rPr>
        <w:t>2</w:t>
      </w:r>
      <w:r w:rsidRPr="00E36734">
        <w:rPr>
          <w:rFonts w:ascii="Times New Roman" w:eastAsia="Times New Roman" w:hAnsi="Times New Roman" w:cs="Times New Roman"/>
          <w:bCs/>
          <w:sz w:val="24"/>
          <w:szCs w:val="24"/>
          <w:lang w:eastAsia="el-GR"/>
        </w:rPr>
        <w:t>)</w:t>
      </w:r>
      <w:r w:rsidR="00E170CB" w:rsidRPr="00E36734">
        <w:rPr>
          <w:rFonts w:ascii="Times New Roman" w:eastAsia="Times New Roman" w:hAnsi="Times New Roman" w:cs="Times New Roman"/>
          <w:bCs/>
          <w:sz w:val="24"/>
          <w:szCs w:val="24"/>
          <w:lang w:eastAsia="el-GR"/>
        </w:rPr>
        <w:t xml:space="preserve">. </w:t>
      </w:r>
    </w:p>
    <w:p w14:paraId="2D8073E2" w14:textId="7FDDF3C3" w:rsidR="008345E1" w:rsidRPr="00E36734" w:rsidRDefault="00B46D0E" w:rsidP="008345E1">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2</w:t>
      </w:r>
      <w:r w:rsidR="00B63BE3" w:rsidRPr="00E36734">
        <w:rPr>
          <w:rFonts w:ascii="Times New Roman" w:eastAsia="Times New Roman" w:hAnsi="Times New Roman" w:cs="Times New Roman"/>
          <w:b/>
          <w:sz w:val="24"/>
          <w:szCs w:val="24"/>
          <w:lang w:eastAsia="el-GR"/>
        </w:rPr>
        <w:t>2</w:t>
      </w:r>
    </w:p>
    <w:p w14:paraId="6DBF9B00" w14:textId="5DAA8070" w:rsidR="008345E1" w:rsidRPr="00E36734" w:rsidRDefault="008345E1" w:rsidP="008345E1">
      <w:pPr>
        <w:spacing w:after="0" w:line="360" w:lineRule="auto"/>
        <w:jc w:val="center"/>
        <w:rPr>
          <w:rFonts w:ascii="Times New Roman" w:eastAsia="Times New Roman" w:hAnsi="Times New Roman" w:cs="Times New Roman"/>
          <w:b/>
          <w:sz w:val="20"/>
          <w:szCs w:val="20"/>
          <w:lang w:eastAsia="el-GR"/>
        </w:rPr>
      </w:pPr>
      <w:r w:rsidRPr="00E36734">
        <w:rPr>
          <w:rFonts w:ascii="Times New Roman" w:eastAsia="Times New Roman" w:hAnsi="Times New Roman" w:cs="Times New Roman"/>
          <w:b/>
          <w:lang w:eastAsia="el-GR"/>
        </w:rPr>
        <w:t>Το ύψος της ενίσχυσης (του ποσού) που λάβατε ήταν αρκετό για να καλύψει ένα σημαντικό μέρος των αναγκών σας:</w:t>
      </w:r>
      <w:r w:rsidRPr="00E36734">
        <w:rPr>
          <w:rFonts w:ascii="Times New Roman" w:eastAsia="Times New Roman" w:hAnsi="Times New Roman" w:cs="Times New Roman"/>
          <w:b/>
          <w:lang w:eastAsia="el-GR"/>
        </w:rPr>
        <w:br/>
      </w:r>
      <w:r w:rsidRPr="00E36734">
        <w:rPr>
          <w:rFonts w:ascii="Times New Roman" w:eastAsia="Times New Roman" w:hAnsi="Times New Roman" w:cs="Times New Roman"/>
          <w:b/>
          <w:sz w:val="20"/>
          <w:szCs w:val="20"/>
          <w:lang w:eastAsia="el-GR"/>
        </w:rPr>
        <w:t>-Βάση: Όσοι έκαναν χρήση της επιστρεπτέας προκαταβολής (63,7%) το προηγούμενο εξάμηνο -</w:t>
      </w:r>
    </w:p>
    <w:p w14:paraId="04463919" w14:textId="0A82991D" w:rsidR="008345E1" w:rsidRPr="00E36734" w:rsidRDefault="008345E1" w:rsidP="00143079">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noProof/>
          <w:sz w:val="24"/>
          <w:szCs w:val="24"/>
          <w:lang w:eastAsia="el-GR"/>
        </w:rPr>
        <w:drawing>
          <wp:inline distT="0" distB="0" distL="0" distR="0" wp14:anchorId="4F3896AC" wp14:editId="31FED1FD">
            <wp:extent cx="6301740" cy="2567940"/>
            <wp:effectExtent l="0" t="0" r="3810" b="3810"/>
            <wp:docPr id="30" name="Γράφημα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F96C89A" w14:textId="0E9624D7" w:rsidR="00B46D0E" w:rsidRPr="00E36734" w:rsidRDefault="007252E8" w:rsidP="00143079">
      <w:pPr>
        <w:spacing w:after="0" w:line="360" w:lineRule="auto"/>
        <w:jc w:val="both"/>
        <w:rPr>
          <w:rFonts w:ascii="Times New Roman" w:eastAsia="Times New Roman" w:hAnsi="Times New Roman" w:cs="Times New Roman"/>
          <w:bCs/>
          <w:sz w:val="24"/>
          <w:szCs w:val="24"/>
          <w:lang w:eastAsia="el-GR"/>
        </w:rPr>
      </w:pPr>
      <w:bookmarkStart w:id="34" w:name="_Hlk68091026"/>
      <w:r w:rsidRPr="00E36734">
        <w:rPr>
          <w:rFonts w:ascii="Times New Roman" w:eastAsia="Times New Roman" w:hAnsi="Times New Roman" w:cs="Times New Roman"/>
          <w:bCs/>
          <w:sz w:val="24"/>
          <w:szCs w:val="24"/>
          <w:lang w:eastAsia="el-GR"/>
        </w:rPr>
        <w:lastRenderedPageBreak/>
        <w:t>Για το 59% των επιχειρήσεων που δήλωσαν πως τα ποσά ενίσχυσης που έλαβαν από τις επιστρεπτέες προκαταβολές υπολείπονταν των αναγκών τους η κατανομή των ενισχύσεων που τους χορ</w:t>
      </w:r>
      <w:r w:rsidR="00B63BE3" w:rsidRPr="00E36734">
        <w:rPr>
          <w:rFonts w:ascii="Times New Roman" w:eastAsia="Times New Roman" w:hAnsi="Times New Roman" w:cs="Times New Roman"/>
          <w:bCs/>
          <w:sz w:val="24"/>
          <w:szCs w:val="24"/>
          <w:lang w:eastAsia="el-GR"/>
        </w:rPr>
        <w:t>ηγήθηκαν φαίνεται στο Γράφημα 23</w:t>
      </w:r>
      <w:r w:rsidRPr="00E36734">
        <w:rPr>
          <w:rFonts w:ascii="Times New Roman" w:eastAsia="Times New Roman" w:hAnsi="Times New Roman" w:cs="Times New Roman"/>
          <w:bCs/>
          <w:sz w:val="24"/>
          <w:szCs w:val="24"/>
          <w:lang w:eastAsia="el-GR"/>
        </w:rPr>
        <w:t xml:space="preserve">. Ειδικότερα, περισσότερες από 6 στις 10 (65,5%) των επιχειρήσεων αυτών έλαβαν οικονομική ενίσχυση έως 5000 €, ενώ ο μέσος όρος των ενισχύσεων στο σύνολο αυτής της κατηγορίας με βάση τα στοιχεία της έρευνας εκτιμάται στα 9.500 €. </w:t>
      </w:r>
      <w:r w:rsidR="00495E12" w:rsidRPr="00E36734">
        <w:rPr>
          <w:rFonts w:ascii="Times New Roman" w:eastAsia="Times New Roman" w:hAnsi="Times New Roman" w:cs="Times New Roman"/>
          <w:bCs/>
          <w:sz w:val="24"/>
          <w:szCs w:val="24"/>
          <w:lang w:eastAsia="el-GR"/>
        </w:rPr>
        <w:t>Υπολείπεται</w:t>
      </w:r>
      <w:r w:rsidRPr="00E36734">
        <w:rPr>
          <w:rFonts w:ascii="Times New Roman" w:eastAsia="Times New Roman" w:hAnsi="Times New Roman" w:cs="Times New Roman"/>
          <w:bCs/>
          <w:sz w:val="24"/>
          <w:szCs w:val="24"/>
          <w:lang w:eastAsia="el-GR"/>
        </w:rPr>
        <w:t xml:space="preserve"> </w:t>
      </w:r>
      <w:r w:rsidR="00495E12" w:rsidRPr="00E36734">
        <w:rPr>
          <w:rFonts w:ascii="Times New Roman" w:eastAsia="Times New Roman" w:hAnsi="Times New Roman" w:cs="Times New Roman"/>
          <w:bCs/>
          <w:sz w:val="24"/>
          <w:szCs w:val="24"/>
          <w:lang w:eastAsia="el-GR"/>
        </w:rPr>
        <w:t>δηλαδή</w:t>
      </w:r>
      <w:r w:rsidRPr="00E36734">
        <w:rPr>
          <w:rFonts w:ascii="Times New Roman" w:eastAsia="Times New Roman" w:hAnsi="Times New Roman" w:cs="Times New Roman"/>
          <w:bCs/>
          <w:sz w:val="24"/>
          <w:szCs w:val="24"/>
          <w:lang w:eastAsia="el-GR"/>
        </w:rPr>
        <w:t xml:space="preserve"> 2,5 φορές από το συνολικό μέσο όρο που εκτιμάται στα 23</w:t>
      </w:r>
      <w:r w:rsidR="00495E12" w:rsidRPr="00E36734">
        <w:rPr>
          <w:rFonts w:ascii="Times New Roman" w:eastAsia="Times New Roman" w:hAnsi="Times New Roman" w:cs="Times New Roman"/>
          <w:bCs/>
          <w:sz w:val="24"/>
          <w:szCs w:val="24"/>
          <w:lang w:eastAsia="el-GR"/>
        </w:rPr>
        <w:t>.</w:t>
      </w:r>
      <w:r w:rsidRPr="00E36734">
        <w:rPr>
          <w:rFonts w:ascii="Times New Roman" w:eastAsia="Times New Roman" w:hAnsi="Times New Roman" w:cs="Times New Roman"/>
          <w:bCs/>
          <w:sz w:val="24"/>
          <w:szCs w:val="24"/>
          <w:lang w:eastAsia="el-GR"/>
        </w:rPr>
        <w:t>500</w:t>
      </w:r>
      <w:r w:rsidR="00495E12" w:rsidRPr="00E36734">
        <w:rPr>
          <w:rFonts w:ascii="Times New Roman" w:eastAsia="Times New Roman" w:hAnsi="Times New Roman" w:cs="Times New Roman"/>
          <w:bCs/>
          <w:sz w:val="24"/>
          <w:szCs w:val="24"/>
          <w:lang w:eastAsia="el-GR"/>
        </w:rPr>
        <w:t xml:space="preserve"> €</w:t>
      </w:r>
    </w:p>
    <w:bookmarkEnd w:id="34"/>
    <w:p w14:paraId="690A1DD0" w14:textId="77777777" w:rsidR="004622B0" w:rsidRPr="00E36734" w:rsidRDefault="004622B0" w:rsidP="00143079">
      <w:pPr>
        <w:spacing w:after="0" w:line="360" w:lineRule="auto"/>
        <w:jc w:val="both"/>
        <w:rPr>
          <w:rFonts w:ascii="Times New Roman" w:eastAsia="Times New Roman" w:hAnsi="Times New Roman" w:cs="Times New Roman"/>
          <w:b/>
          <w:sz w:val="24"/>
          <w:szCs w:val="24"/>
          <w:lang w:eastAsia="el-GR"/>
        </w:rPr>
      </w:pPr>
    </w:p>
    <w:p w14:paraId="247C0562" w14:textId="2A6E9F12" w:rsidR="004622B0" w:rsidRPr="00E36734" w:rsidRDefault="00B63BE3" w:rsidP="00495E12">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23</w:t>
      </w:r>
    </w:p>
    <w:p w14:paraId="6CEBC77B" w14:textId="77777777" w:rsidR="00C91692" w:rsidRPr="00E36734" w:rsidRDefault="00C91692" w:rsidP="00C91692">
      <w:pPr>
        <w:spacing w:after="0" w:line="360" w:lineRule="auto"/>
        <w:jc w:val="center"/>
        <w:rPr>
          <w:rFonts w:ascii="Times New Roman" w:eastAsia="Times New Roman" w:hAnsi="Times New Roman" w:cs="Times New Roman"/>
          <w:b/>
          <w:sz w:val="20"/>
          <w:szCs w:val="20"/>
          <w:lang w:eastAsia="el-GR"/>
        </w:rPr>
      </w:pPr>
      <w:r w:rsidRPr="00E36734">
        <w:rPr>
          <w:rFonts w:ascii="Times New Roman" w:eastAsia="Times New Roman" w:hAnsi="Times New Roman" w:cs="Times New Roman"/>
          <w:b/>
          <w:sz w:val="24"/>
          <w:szCs w:val="24"/>
          <w:lang w:eastAsia="el-GR"/>
        </w:rPr>
        <w:t>Ποιο ήταν το ύψος της ενίσχυσης (του ποσού σε ευρώ) που λάβατε;</w:t>
      </w:r>
      <w:r w:rsidRPr="00E36734">
        <w:rPr>
          <w:rFonts w:ascii="Times New Roman" w:eastAsia="Times New Roman" w:hAnsi="Times New Roman" w:cs="Times New Roman"/>
          <w:b/>
          <w:sz w:val="24"/>
          <w:szCs w:val="24"/>
          <w:lang w:eastAsia="el-GR"/>
        </w:rPr>
        <w:br/>
      </w:r>
      <w:r w:rsidRPr="00E36734">
        <w:rPr>
          <w:rFonts w:ascii="Times New Roman" w:eastAsia="Microsoft JhengHei UI" w:hAnsi="Times New Roman" w:cs="Times New Roman"/>
          <w:b/>
          <w:bCs/>
          <w:color w:val="000000" w:themeColor="text1"/>
          <w:sz w:val="20"/>
          <w:szCs w:val="20"/>
        </w:rPr>
        <w:t>-Βάση: Όσοι δηλώνουν ότι το ύψος της ενίσχυσης δεν ήταν αρκετό-</w:t>
      </w:r>
    </w:p>
    <w:p w14:paraId="7028CB16" w14:textId="2C50A356" w:rsidR="004622B0" w:rsidRPr="00E36734" w:rsidRDefault="00EA66B6" w:rsidP="00C91692">
      <w:pPr>
        <w:spacing w:after="0" w:line="360" w:lineRule="auto"/>
        <w:jc w:val="center"/>
        <w:rPr>
          <w:rFonts w:ascii="Times New Roman" w:eastAsia="Times New Roman" w:hAnsi="Times New Roman" w:cs="Times New Roman"/>
          <w:b/>
          <w:sz w:val="24"/>
          <w:szCs w:val="24"/>
          <w:lang w:eastAsia="el-GR"/>
        </w:rPr>
      </w:pPr>
      <w:r w:rsidRPr="00E36734">
        <w:rPr>
          <w:noProof/>
          <w:lang w:eastAsia="el-GR"/>
        </w:rPr>
        <mc:AlternateContent>
          <mc:Choice Requires="wps">
            <w:drawing>
              <wp:anchor distT="0" distB="0" distL="114300" distR="114300" simplePos="0" relativeHeight="251655168" behindDoc="0" locked="0" layoutInCell="1" allowOverlap="1" wp14:anchorId="17FFEBFA" wp14:editId="4D62A01F">
                <wp:simplePos x="0" y="0"/>
                <wp:positionH relativeFrom="column">
                  <wp:posOffset>4015740</wp:posOffset>
                </wp:positionH>
                <wp:positionV relativeFrom="paragraph">
                  <wp:posOffset>2205355</wp:posOffset>
                </wp:positionV>
                <wp:extent cx="1872208" cy="449580"/>
                <wp:effectExtent l="0" t="0" r="13970" b="26670"/>
                <wp:wrapNone/>
                <wp:docPr id="31" name="TextBox 1"/>
                <wp:cNvGraphicFramePr/>
                <a:graphic xmlns:a="http://schemas.openxmlformats.org/drawingml/2006/main">
                  <a:graphicData uri="http://schemas.microsoft.com/office/word/2010/wordprocessingShape">
                    <wps:wsp>
                      <wps:cNvSpPr txBox="1"/>
                      <wps:spPr>
                        <a:xfrm>
                          <a:off x="0" y="0"/>
                          <a:ext cx="1872208" cy="449580"/>
                        </a:xfrm>
                        <a:prstGeom prst="rect">
                          <a:avLst/>
                        </a:prstGeom>
                        <a:noFill/>
                        <a:ln>
                          <a:solidFill>
                            <a:sysClr val="windowText" lastClr="000000"/>
                          </a:solidFill>
                        </a:ln>
                      </wps:spPr>
                      <wps:txbx>
                        <w:txbxContent>
                          <w:p w14:paraId="158DA902" w14:textId="615DBABB" w:rsidR="00C83512" w:rsidRPr="00EA66B6" w:rsidRDefault="00C83512" w:rsidP="00EA66B6">
                            <w:pPr>
                              <w:textAlignment w:val="baseline"/>
                              <w:rPr>
                                <w:rFonts w:ascii="Microsoft JhengHei UI" w:eastAsia="Microsoft JhengHei UI" w:hAnsi="Microsoft JhengHei UI" w:cs="+mn-cs"/>
                                <w:b/>
                                <w:bCs/>
                                <w:color w:val="000000"/>
                                <w:kern w:val="24"/>
                                <w:sz w:val="32"/>
                                <w:szCs w:val="32"/>
                                <w:lang w:val="en-US"/>
                              </w:rPr>
                            </w:pPr>
                            <w:r>
                              <w:rPr>
                                <w:rFonts w:ascii="Microsoft JhengHei UI" w:eastAsia="Microsoft JhengHei UI" w:hAnsi="Microsoft JhengHei UI" w:cs="+mn-cs" w:hint="eastAsia"/>
                                <w:b/>
                                <w:bCs/>
                                <w:color w:val="000000"/>
                                <w:kern w:val="24"/>
                                <w:sz w:val="32"/>
                                <w:szCs w:val="32"/>
                              </w:rPr>
                              <w:t xml:space="preserve">Μ.Ο.: € </w:t>
                            </w:r>
                            <w:r>
                              <w:rPr>
                                <w:rFonts w:ascii="Microsoft JhengHei UI" w:eastAsia="Microsoft JhengHei UI" w:hAnsi="Microsoft JhengHei UI" w:cs="+mn-cs"/>
                                <w:b/>
                                <w:bCs/>
                                <w:color w:val="000000"/>
                                <w:kern w:val="24"/>
                                <w:sz w:val="32"/>
                                <w:szCs w:val="32"/>
                                <w:lang w:val="en-US"/>
                              </w:rPr>
                              <w:t>9.500</w:t>
                            </w:r>
                          </w:p>
                        </w:txbxContent>
                      </wps:txbx>
                      <wps:bodyPr wrap="square" rtlCol="0">
                        <a:noAutofit/>
                      </wps:bodyPr>
                    </wps:wsp>
                  </a:graphicData>
                </a:graphic>
                <wp14:sizeRelV relativeFrom="margin">
                  <wp14:pctHeight>0</wp14:pctHeight>
                </wp14:sizeRelV>
              </wp:anchor>
            </w:drawing>
          </mc:Choice>
          <mc:Fallback>
            <w:pict>
              <v:shape w14:anchorId="17FFEBFA" id="_x0000_s1030" type="#_x0000_t202" style="position:absolute;left:0;text-align:left;margin-left:316.2pt;margin-top:173.65pt;width:147.4pt;height:35.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" filled="f" strokecolor="windowText">
                <v:textbox>
                  <w:txbxContent>
                    <w:p w14:paraId="158DA902" w14:textId="615DBABB" w:rsidR="00C83512" w:rsidRPr="00EA66B6" w:rsidRDefault="00C83512" w:rsidP="00EA66B6">
                      <w:pPr>
                        <w:textAlignment w:val="baseline"/>
                        <w:rPr>
                          <w:rFonts w:ascii="Microsoft JhengHei UI" w:eastAsia="Microsoft JhengHei UI" w:hAnsi="Microsoft JhengHei UI" w:cs="+mn-cs"/>
                          <w:b/>
                          <w:bCs/>
                          <w:color w:val="000000"/>
                          <w:kern w:val="24"/>
                          <w:sz w:val="32"/>
                          <w:szCs w:val="32"/>
                          <w:lang w:val="en-US"/>
                        </w:rPr>
                      </w:pPr>
                      <w:r>
                        <w:rPr>
                          <w:rFonts w:ascii="Microsoft JhengHei UI" w:eastAsia="Microsoft JhengHei UI" w:hAnsi="Microsoft JhengHei UI" w:cs="+mn-cs" w:hint="eastAsia"/>
                          <w:b/>
                          <w:bCs/>
                          <w:color w:val="000000"/>
                          <w:kern w:val="24"/>
                          <w:sz w:val="32"/>
                          <w:szCs w:val="32"/>
                        </w:rPr>
                        <w:t xml:space="preserve">Μ.Ο.: € </w:t>
                      </w:r>
                      <w:r>
                        <w:rPr>
                          <w:rFonts w:ascii="Microsoft JhengHei UI" w:eastAsia="Microsoft JhengHei UI" w:hAnsi="Microsoft JhengHei UI" w:cs="+mn-cs"/>
                          <w:b/>
                          <w:bCs/>
                          <w:color w:val="000000"/>
                          <w:kern w:val="24"/>
                          <w:sz w:val="32"/>
                          <w:szCs w:val="32"/>
                          <w:lang w:val="en-US"/>
                        </w:rPr>
                        <w:t>9.500</w:t>
                      </w:r>
                    </w:p>
                  </w:txbxContent>
                </v:textbox>
              </v:shape>
            </w:pict>
          </mc:Fallback>
        </mc:AlternateContent>
      </w:r>
      <w:r w:rsidRPr="00E36734">
        <w:rPr>
          <w:rFonts w:ascii="Times New Roman" w:eastAsia="Times New Roman" w:hAnsi="Times New Roman" w:cs="Times New Roman"/>
          <w:b/>
          <w:noProof/>
          <w:sz w:val="24"/>
          <w:szCs w:val="24"/>
          <w:lang w:eastAsia="el-GR"/>
        </w:rPr>
        <w:drawing>
          <wp:inline distT="0" distB="0" distL="0" distR="0" wp14:anchorId="08AAADA7" wp14:editId="24C75EFE">
            <wp:extent cx="6570980" cy="3634740"/>
            <wp:effectExtent l="0" t="0" r="1270" b="3810"/>
            <wp:docPr id="20" name="Γράφημα 20">
              <a:extLst xmlns:a="http://schemas.openxmlformats.org/drawingml/2006/main">
                <a:ext uri="{FF2B5EF4-FFF2-40B4-BE49-F238E27FC236}">
                  <a16:creationId xmlns:a16="http://schemas.microsoft.com/office/drawing/2014/main"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9751B85" w14:textId="36DFE76B" w:rsidR="00495E12" w:rsidRPr="00E36734" w:rsidRDefault="00495E12" w:rsidP="00495E12">
      <w:pPr>
        <w:spacing w:after="0" w:line="360" w:lineRule="auto"/>
        <w:rPr>
          <w:rFonts w:ascii="Times New Roman" w:eastAsia="Times New Roman" w:hAnsi="Times New Roman" w:cs="Times New Roman"/>
          <w:b/>
          <w:sz w:val="24"/>
          <w:szCs w:val="24"/>
          <w:lang w:eastAsia="el-GR"/>
        </w:rPr>
      </w:pPr>
    </w:p>
    <w:p w14:paraId="46BDCB03" w14:textId="2BDF9200" w:rsidR="00495E12" w:rsidRPr="00E36734" w:rsidRDefault="00B63BE3" w:rsidP="00495E1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Στο Γράφημα 24</w:t>
      </w:r>
      <w:r w:rsidR="00495E12" w:rsidRPr="00E36734">
        <w:rPr>
          <w:rFonts w:ascii="Times New Roman" w:eastAsia="Times New Roman" w:hAnsi="Times New Roman" w:cs="Times New Roman"/>
          <w:bCs/>
          <w:sz w:val="24"/>
          <w:szCs w:val="24"/>
          <w:lang w:eastAsia="el-GR"/>
        </w:rPr>
        <w:t xml:space="preserve"> φαίνονται τα ποσοστά των επιχειρήσεων ανά κατηγορία ποσού του επιθυμητού ύψους ενίσχυσης που δήλωσαν πως θα ήθελαν να λάβουν οι μικρές και πολύ μικρές επιχειρήσεις που δεν έλαβαν επαρκή χρηματοδοτική στήριξη μέσω των επιστρεπτέων προκαταβολών. Ειδικότερα για το 8% των επιχειρήσεων η επαρκής χρηματοδοτική στήριξη αντιστοιχεί σε ποσά ύψους έως 2500€,  το 21,3% από 2501 έως 5000€ το 21% από 5001-10000€, το 17% από 10001 έως 20000, το 10,7% από 20001-30000€ και το 15% σε ποσά άνω των 30000€. </w:t>
      </w:r>
      <w:bookmarkStart w:id="35" w:name="_Hlk68091060"/>
      <w:r w:rsidR="00495E12" w:rsidRPr="00E36734">
        <w:rPr>
          <w:rFonts w:ascii="Times New Roman" w:eastAsia="Times New Roman" w:hAnsi="Times New Roman" w:cs="Times New Roman"/>
          <w:bCs/>
          <w:sz w:val="24"/>
          <w:szCs w:val="24"/>
          <w:lang w:eastAsia="el-GR"/>
        </w:rPr>
        <w:t>Ο μέσος όρος των ενισχύσεων στο σύνολο αυτής της κατηγορίας με βάση τα στοιχεία της έρευνας εκτιμάται στα 32.000€. Υπολείπεται</w:t>
      </w:r>
      <w:r w:rsidR="00CB6783" w:rsidRPr="00E36734">
        <w:rPr>
          <w:rFonts w:ascii="Times New Roman" w:eastAsia="Times New Roman" w:hAnsi="Times New Roman" w:cs="Times New Roman"/>
          <w:bCs/>
          <w:sz w:val="24"/>
          <w:szCs w:val="24"/>
          <w:lang w:eastAsia="el-GR"/>
        </w:rPr>
        <w:t>,</w:t>
      </w:r>
      <w:r w:rsidR="00495E12" w:rsidRPr="00E36734">
        <w:rPr>
          <w:rFonts w:ascii="Times New Roman" w:eastAsia="Times New Roman" w:hAnsi="Times New Roman" w:cs="Times New Roman"/>
          <w:bCs/>
          <w:sz w:val="24"/>
          <w:szCs w:val="24"/>
          <w:lang w:eastAsia="el-GR"/>
        </w:rPr>
        <w:t xml:space="preserve"> δηλαδή</w:t>
      </w:r>
      <w:r w:rsidR="00CB6783" w:rsidRPr="00E36734">
        <w:rPr>
          <w:rFonts w:ascii="Times New Roman" w:eastAsia="Times New Roman" w:hAnsi="Times New Roman" w:cs="Times New Roman"/>
          <w:bCs/>
          <w:sz w:val="24"/>
          <w:szCs w:val="24"/>
          <w:lang w:eastAsia="el-GR"/>
        </w:rPr>
        <w:t xml:space="preserve">, </w:t>
      </w:r>
      <w:r w:rsidR="00495E12" w:rsidRPr="00E36734">
        <w:rPr>
          <w:rFonts w:ascii="Times New Roman" w:eastAsia="Times New Roman" w:hAnsi="Times New Roman" w:cs="Times New Roman"/>
          <w:bCs/>
          <w:sz w:val="24"/>
          <w:szCs w:val="24"/>
          <w:lang w:eastAsia="el-GR"/>
        </w:rPr>
        <w:t xml:space="preserve">περισσότερο από 3 φορές σε </w:t>
      </w:r>
      <w:r w:rsidR="00CB6783" w:rsidRPr="00E36734">
        <w:rPr>
          <w:rFonts w:ascii="Times New Roman" w:eastAsia="Times New Roman" w:hAnsi="Times New Roman" w:cs="Times New Roman"/>
          <w:bCs/>
          <w:sz w:val="24"/>
          <w:szCs w:val="24"/>
          <w:lang w:eastAsia="el-GR"/>
        </w:rPr>
        <w:t>σύγκριση</w:t>
      </w:r>
      <w:r w:rsidR="00495E12" w:rsidRPr="00E36734">
        <w:rPr>
          <w:rFonts w:ascii="Times New Roman" w:eastAsia="Times New Roman" w:hAnsi="Times New Roman" w:cs="Times New Roman"/>
          <w:bCs/>
          <w:sz w:val="24"/>
          <w:szCs w:val="24"/>
          <w:lang w:eastAsia="el-GR"/>
        </w:rPr>
        <w:t xml:space="preserve"> με το μέσο όρο των </w:t>
      </w:r>
      <w:r w:rsidR="00CB6783" w:rsidRPr="00E36734">
        <w:rPr>
          <w:rFonts w:ascii="Times New Roman" w:eastAsia="Times New Roman" w:hAnsi="Times New Roman" w:cs="Times New Roman"/>
          <w:bCs/>
          <w:sz w:val="24"/>
          <w:szCs w:val="24"/>
          <w:lang w:eastAsia="el-GR"/>
        </w:rPr>
        <w:t>ενισχύσεων</w:t>
      </w:r>
      <w:r w:rsidR="00495E12" w:rsidRPr="00E36734">
        <w:rPr>
          <w:rFonts w:ascii="Times New Roman" w:eastAsia="Times New Roman" w:hAnsi="Times New Roman" w:cs="Times New Roman"/>
          <w:bCs/>
          <w:sz w:val="24"/>
          <w:szCs w:val="24"/>
          <w:lang w:eastAsia="el-GR"/>
        </w:rPr>
        <w:t xml:space="preserve"> που έχουν λάβει οι επιχειρήσεις </w:t>
      </w:r>
      <w:r w:rsidR="00CB6783" w:rsidRPr="00E36734">
        <w:rPr>
          <w:rFonts w:ascii="Times New Roman" w:eastAsia="Times New Roman" w:hAnsi="Times New Roman" w:cs="Times New Roman"/>
          <w:bCs/>
          <w:sz w:val="24"/>
          <w:szCs w:val="24"/>
          <w:lang w:eastAsia="el-GR"/>
        </w:rPr>
        <w:t xml:space="preserve">που δήλωσαν ότι η </w:t>
      </w:r>
      <w:r w:rsidR="00CB6783" w:rsidRPr="00E36734">
        <w:rPr>
          <w:rFonts w:ascii="Times New Roman" w:eastAsia="Times New Roman" w:hAnsi="Times New Roman" w:cs="Times New Roman"/>
          <w:bCs/>
          <w:sz w:val="24"/>
          <w:szCs w:val="24"/>
          <w:lang w:eastAsia="el-GR"/>
        </w:rPr>
        <w:lastRenderedPageBreak/>
        <w:t xml:space="preserve">χρηματοδότη που τους χορηγήθηκε μέσω των επιστρεπτέων προκαταβολών δεν ήταν αρκετή για να καλύψει ένα σημαντικό μέρος των αναγκών τους. </w:t>
      </w:r>
    </w:p>
    <w:bookmarkEnd w:id="35"/>
    <w:p w14:paraId="048C34FF" w14:textId="315B7C89" w:rsidR="00CB6783" w:rsidRPr="00E36734" w:rsidRDefault="00CB6783" w:rsidP="00495E1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Από τα ευρήματα αυτά φαίνεται ότι ένας από τους κύριους λόγους που καταγράφεται σοβαρή επιδείνωση της ρευστότητας των μικρών και πολύ μικρών επιχειρήσεων αποτελεί η υποχρηματοδότηση που έχουν λάβει ώστε να ανταπεξέλθουν στις δυσμενείς επιπτώσεις που προκαλεί στην οικονομία η υγειονομική κρίση.  Τονίζεται ότι η έλλειψη ρευστότητας ή/και πρόσβασης σε χρηματοδότηση αποτελεί το σημαντικότερο </w:t>
      </w:r>
      <w:r w:rsidR="006A1075" w:rsidRPr="00E36734">
        <w:rPr>
          <w:rFonts w:ascii="Times New Roman" w:eastAsia="Times New Roman" w:hAnsi="Times New Roman" w:cs="Times New Roman"/>
          <w:bCs/>
          <w:sz w:val="24"/>
          <w:szCs w:val="24"/>
          <w:lang w:eastAsia="el-GR"/>
        </w:rPr>
        <w:t>παράγοντα</w:t>
      </w:r>
      <w:r w:rsidRPr="00E36734">
        <w:rPr>
          <w:rFonts w:ascii="Times New Roman" w:eastAsia="Times New Roman" w:hAnsi="Times New Roman" w:cs="Times New Roman"/>
          <w:bCs/>
          <w:sz w:val="24"/>
          <w:szCs w:val="24"/>
          <w:lang w:eastAsia="el-GR"/>
        </w:rPr>
        <w:t xml:space="preserve"> που μπορεί να οδηγήσει ακόμα κι υγιείς επιχειρήσεις σ</w:t>
      </w:r>
      <w:r w:rsidR="006A1075" w:rsidRPr="00E36734">
        <w:rPr>
          <w:rFonts w:ascii="Times New Roman" w:eastAsia="Times New Roman" w:hAnsi="Times New Roman" w:cs="Times New Roman"/>
          <w:bCs/>
          <w:sz w:val="24"/>
          <w:szCs w:val="24"/>
          <w:lang w:eastAsia="el-GR"/>
        </w:rPr>
        <w:t xml:space="preserve">ε διακοπή δραστηριότητας. </w:t>
      </w:r>
    </w:p>
    <w:p w14:paraId="1DC56884" w14:textId="5E05FA0B" w:rsidR="006A1075" w:rsidRPr="00E36734" w:rsidRDefault="006A1075" w:rsidP="00495E1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Επιπλέον,  συσχετίζεται και με την σημαντική αύξηση που καταγράφεται ποσοστιαία στις εκτιμήσεις των επιχειρήσεων ως προς την δυνατότητα τους να εξυπηρετήσουν τις υποχρεώσεις τους το επόμενο εξάμηνο. </w:t>
      </w:r>
    </w:p>
    <w:p w14:paraId="26566744" w14:textId="0D42A87B" w:rsidR="006A1075" w:rsidRPr="00E36734" w:rsidRDefault="006A1075" w:rsidP="00495E12">
      <w:pPr>
        <w:spacing w:after="0" w:line="360" w:lineRule="auto"/>
        <w:jc w:val="both"/>
        <w:rPr>
          <w:rFonts w:ascii="Times New Roman" w:eastAsia="Times New Roman" w:hAnsi="Times New Roman" w:cs="Times New Roman"/>
          <w:bCs/>
          <w:sz w:val="24"/>
          <w:szCs w:val="24"/>
          <w:lang w:eastAsia="el-GR"/>
        </w:rPr>
      </w:pPr>
      <w:r w:rsidRPr="00E36734">
        <w:rPr>
          <w:rFonts w:ascii="Times New Roman" w:eastAsia="Times New Roman" w:hAnsi="Times New Roman" w:cs="Times New Roman"/>
          <w:bCs/>
          <w:sz w:val="24"/>
          <w:szCs w:val="24"/>
          <w:lang w:eastAsia="el-GR"/>
        </w:rPr>
        <w:t xml:space="preserve">Εν κατακλείδι, φαίνεται πως το ζήτημα της επαρκούς χρηματοδοτικής στήριξης των επιχειρήσεων το επόμενο διάστημα θα αποτελέσει τον κρισιμότερο παράγοντα για την επιβίωση </w:t>
      </w:r>
      <w:r w:rsidR="00002179" w:rsidRPr="00E36734">
        <w:rPr>
          <w:rFonts w:ascii="Times New Roman" w:eastAsia="Times New Roman" w:hAnsi="Times New Roman" w:cs="Times New Roman"/>
          <w:bCs/>
          <w:sz w:val="24"/>
          <w:szCs w:val="24"/>
          <w:lang w:eastAsia="el-GR"/>
        </w:rPr>
        <w:t xml:space="preserve">εκείνων </w:t>
      </w:r>
      <w:r w:rsidRPr="00E36734">
        <w:rPr>
          <w:rFonts w:ascii="Times New Roman" w:eastAsia="Times New Roman" w:hAnsi="Times New Roman" w:cs="Times New Roman"/>
          <w:bCs/>
          <w:sz w:val="24"/>
          <w:szCs w:val="24"/>
          <w:lang w:eastAsia="el-GR"/>
        </w:rPr>
        <w:t xml:space="preserve">των επιχειρήσεων που αντιμετωπίζουν πολλαπλές προκλήσεις και με βάση τα στοιχεία της έρευνας εκτιμώνται τουλάχιστον </w:t>
      </w:r>
      <w:r w:rsidR="00002179" w:rsidRPr="00E36734">
        <w:rPr>
          <w:rFonts w:ascii="Times New Roman" w:eastAsia="Times New Roman" w:hAnsi="Times New Roman" w:cs="Times New Roman"/>
          <w:bCs/>
          <w:sz w:val="24"/>
          <w:szCs w:val="24"/>
          <w:lang w:eastAsia="el-GR"/>
        </w:rPr>
        <w:t xml:space="preserve">σε 1 στις 5 μικρές και πολύ μικρές επιχειρήσεις. </w:t>
      </w:r>
    </w:p>
    <w:p w14:paraId="7F6A94EB" w14:textId="77777777" w:rsidR="00495E12" w:rsidRPr="00E36734" w:rsidRDefault="00495E12" w:rsidP="00002179">
      <w:pPr>
        <w:spacing w:after="0" w:line="360" w:lineRule="auto"/>
        <w:rPr>
          <w:rFonts w:ascii="Times New Roman" w:eastAsia="Times New Roman" w:hAnsi="Times New Roman" w:cs="Times New Roman"/>
          <w:b/>
          <w:sz w:val="24"/>
          <w:szCs w:val="24"/>
          <w:lang w:eastAsia="el-GR"/>
        </w:rPr>
      </w:pPr>
    </w:p>
    <w:p w14:paraId="7D50F8F1" w14:textId="51023F7A" w:rsidR="004622B0" w:rsidRPr="00E36734" w:rsidRDefault="00B63BE3" w:rsidP="00495E12">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t>Γράφημα 24</w:t>
      </w:r>
    </w:p>
    <w:p w14:paraId="77CF37E4" w14:textId="5AD7EB5F" w:rsidR="004622B0" w:rsidRPr="00E36734" w:rsidRDefault="00C91692" w:rsidP="00C91692">
      <w:pPr>
        <w:spacing w:after="0" w:line="360" w:lineRule="auto"/>
        <w:jc w:val="center"/>
        <w:rPr>
          <w:rFonts w:ascii="Times New Roman" w:eastAsia="Times New Roman" w:hAnsi="Times New Roman" w:cs="Times New Roman"/>
          <w:b/>
          <w:sz w:val="24"/>
          <w:szCs w:val="24"/>
          <w:lang w:eastAsia="el-GR"/>
        </w:rPr>
      </w:pPr>
      <w:r w:rsidRPr="00E36734">
        <w:rPr>
          <w:rFonts w:ascii="Times New Roman" w:eastAsia="Microsoft JhengHei UI" w:hAnsi="Times New Roman" w:cs="Times New Roman"/>
          <w:b/>
          <w:bCs/>
          <w:color w:val="000000" w:themeColor="text1"/>
          <w:sz w:val="24"/>
          <w:szCs w:val="24"/>
        </w:rPr>
        <w:t>Τι ύψος ενίσχυσης (ποσό) θα χρειαζόσασταν;</w:t>
      </w:r>
      <w:r w:rsidRPr="00E36734">
        <w:rPr>
          <w:rFonts w:ascii="Times New Roman" w:eastAsia="Microsoft JhengHei UI" w:hAnsi="Times New Roman" w:cs="Times New Roman"/>
          <w:b/>
          <w:bCs/>
          <w:color w:val="000000" w:themeColor="text1"/>
          <w:sz w:val="24"/>
          <w:szCs w:val="24"/>
        </w:rPr>
        <w:br/>
      </w:r>
      <w:r w:rsidRPr="00E36734">
        <w:rPr>
          <w:rFonts w:ascii="Times New Roman" w:eastAsia="Microsoft JhengHei UI" w:hAnsi="Times New Roman" w:cs="Times New Roman"/>
          <w:b/>
          <w:bCs/>
          <w:i/>
          <w:iCs/>
          <w:color w:val="000000" w:themeColor="text1"/>
          <w:sz w:val="24"/>
          <w:szCs w:val="24"/>
        </w:rPr>
        <w:t>-Βάση: Όσοι δηλώνουν ότι το ύψος της ενίσχυσης δεν ήταν αρκετό-</w:t>
      </w:r>
    </w:p>
    <w:p w14:paraId="125B6D2C" w14:textId="35EC3F3E" w:rsidR="004622B0" w:rsidRPr="00E36734" w:rsidRDefault="00EA66B6" w:rsidP="00143079">
      <w:pPr>
        <w:spacing w:after="0" w:line="360" w:lineRule="auto"/>
        <w:jc w:val="both"/>
        <w:rPr>
          <w:rFonts w:ascii="Times New Roman" w:eastAsia="Times New Roman" w:hAnsi="Times New Roman" w:cs="Times New Roman"/>
          <w:b/>
          <w:sz w:val="24"/>
          <w:szCs w:val="24"/>
          <w:lang w:eastAsia="el-GR"/>
        </w:rPr>
      </w:pPr>
      <w:r w:rsidRPr="00E36734">
        <w:rPr>
          <w:noProof/>
          <w:lang w:eastAsia="el-GR"/>
        </w:rPr>
        <mc:AlternateContent>
          <mc:Choice Requires="wps">
            <w:drawing>
              <wp:anchor distT="0" distB="0" distL="114300" distR="114300" simplePos="0" relativeHeight="251657216" behindDoc="0" locked="0" layoutInCell="1" allowOverlap="1" wp14:anchorId="50366667" wp14:editId="267EC3D7">
                <wp:simplePos x="0" y="0"/>
                <wp:positionH relativeFrom="column">
                  <wp:posOffset>4191000</wp:posOffset>
                </wp:positionH>
                <wp:positionV relativeFrom="paragraph">
                  <wp:posOffset>2190115</wp:posOffset>
                </wp:positionV>
                <wp:extent cx="1872208" cy="449580"/>
                <wp:effectExtent l="0" t="0" r="13970" b="26670"/>
                <wp:wrapNone/>
                <wp:docPr id="33" name="TextBox 1"/>
                <wp:cNvGraphicFramePr/>
                <a:graphic xmlns:a="http://schemas.openxmlformats.org/drawingml/2006/main">
                  <a:graphicData uri="http://schemas.microsoft.com/office/word/2010/wordprocessingShape">
                    <wps:wsp>
                      <wps:cNvSpPr txBox="1"/>
                      <wps:spPr>
                        <a:xfrm>
                          <a:off x="0" y="0"/>
                          <a:ext cx="1872208" cy="449580"/>
                        </a:xfrm>
                        <a:prstGeom prst="rect">
                          <a:avLst/>
                        </a:prstGeom>
                        <a:noFill/>
                        <a:ln>
                          <a:solidFill>
                            <a:sysClr val="windowText" lastClr="000000"/>
                          </a:solidFill>
                        </a:ln>
                      </wps:spPr>
                      <wps:txbx>
                        <w:txbxContent>
                          <w:p w14:paraId="1695F77E" w14:textId="545BB1F8" w:rsidR="00C83512" w:rsidRPr="00EA66B6" w:rsidRDefault="00C83512" w:rsidP="00EA66B6">
                            <w:pPr>
                              <w:textAlignment w:val="baseline"/>
                              <w:rPr>
                                <w:rFonts w:ascii="Microsoft JhengHei UI" w:eastAsia="Microsoft JhengHei UI" w:hAnsi="Microsoft JhengHei UI" w:cs="+mn-cs"/>
                                <w:b/>
                                <w:bCs/>
                                <w:color w:val="000000"/>
                                <w:kern w:val="24"/>
                                <w:sz w:val="32"/>
                                <w:szCs w:val="32"/>
                                <w:lang w:val="en-US"/>
                              </w:rPr>
                            </w:pPr>
                            <w:r>
                              <w:rPr>
                                <w:rFonts w:ascii="Microsoft JhengHei UI" w:eastAsia="Microsoft JhengHei UI" w:hAnsi="Microsoft JhengHei UI" w:cs="+mn-cs" w:hint="eastAsia"/>
                                <w:b/>
                                <w:bCs/>
                                <w:color w:val="000000"/>
                                <w:kern w:val="24"/>
                                <w:sz w:val="32"/>
                                <w:szCs w:val="32"/>
                              </w:rPr>
                              <w:t xml:space="preserve">Μ.Ο.: € </w:t>
                            </w:r>
                            <w:r>
                              <w:rPr>
                                <w:rFonts w:ascii="Microsoft JhengHei UI" w:eastAsia="Microsoft JhengHei UI" w:hAnsi="Microsoft JhengHei UI" w:cs="+mn-cs"/>
                                <w:b/>
                                <w:bCs/>
                                <w:color w:val="000000"/>
                                <w:kern w:val="24"/>
                                <w:sz w:val="32"/>
                                <w:szCs w:val="32"/>
                                <w:lang w:val="en-US"/>
                              </w:rPr>
                              <w:t>32.000</w:t>
                            </w:r>
                          </w:p>
                        </w:txbxContent>
                      </wps:txbx>
                      <wps:bodyPr wrap="square" rtlCol="0">
                        <a:noAutofit/>
                      </wps:bodyPr>
                    </wps:wsp>
                  </a:graphicData>
                </a:graphic>
                <wp14:sizeRelV relativeFrom="margin">
                  <wp14:pctHeight>0</wp14:pctHeight>
                </wp14:sizeRelV>
              </wp:anchor>
            </w:drawing>
          </mc:Choice>
          <mc:Fallback>
            <w:pict>
              <v:shape w14:anchorId="50366667" id="_x0000_s1031" type="#_x0000_t202" style="position:absolute;left:0;text-align:left;margin-left:330pt;margin-top:172.45pt;width:147.4pt;height:35.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" filled="f" strokecolor="windowText">
                <v:textbox>
                  <w:txbxContent>
                    <w:p w14:paraId="1695F77E" w14:textId="545BB1F8" w:rsidR="00C83512" w:rsidRPr="00EA66B6" w:rsidRDefault="00C83512" w:rsidP="00EA66B6">
                      <w:pPr>
                        <w:textAlignment w:val="baseline"/>
                        <w:rPr>
                          <w:rFonts w:ascii="Microsoft JhengHei UI" w:eastAsia="Microsoft JhengHei UI" w:hAnsi="Microsoft JhengHei UI" w:cs="+mn-cs"/>
                          <w:b/>
                          <w:bCs/>
                          <w:color w:val="000000"/>
                          <w:kern w:val="24"/>
                          <w:sz w:val="32"/>
                          <w:szCs w:val="32"/>
                          <w:lang w:val="en-US"/>
                        </w:rPr>
                      </w:pPr>
                      <w:r>
                        <w:rPr>
                          <w:rFonts w:ascii="Microsoft JhengHei UI" w:eastAsia="Microsoft JhengHei UI" w:hAnsi="Microsoft JhengHei UI" w:cs="+mn-cs" w:hint="eastAsia"/>
                          <w:b/>
                          <w:bCs/>
                          <w:color w:val="000000"/>
                          <w:kern w:val="24"/>
                          <w:sz w:val="32"/>
                          <w:szCs w:val="32"/>
                        </w:rPr>
                        <w:t xml:space="preserve">Μ.Ο.: € </w:t>
                      </w:r>
                      <w:r>
                        <w:rPr>
                          <w:rFonts w:ascii="Microsoft JhengHei UI" w:eastAsia="Microsoft JhengHei UI" w:hAnsi="Microsoft JhengHei UI" w:cs="+mn-cs"/>
                          <w:b/>
                          <w:bCs/>
                          <w:color w:val="000000"/>
                          <w:kern w:val="24"/>
                          <w:sz w:val="32"/>
                          <w:szCs w:val="32"/>
                          <w:lang w:val="en-US"/>
                        </w:rPr>
                        <w:t>32.000</w:t>
                      </w:r>
                    </w:p>
                  </w:txbxContent>
                </v:textbox>
              </v:shape>
            </w:pict>
          </mc:Fallback>
        </mc:AlternateContent>
      </w:r>
      <w:r w:rsidRPr="00E36734">
        <w:rPr>
          <w:rFonts w:ascii="Times New Roman" w:eastAsia="Times New Roman" w:hAnsi="Times New Roman" w:cs="Times New Roman"/>
          <w:b/>
          <w:noProof/>
          <w:sz w:val="24"/>
          <w:szCs w:val="24"/>
          <w:lang w:eastAsia="el-GR"/>
        </w:rPr>
        <w:drawing>
          <wp:inline distT="0" distB="0" distL="0" distR="0" wp14:anchorId="0C80B3A2" wp14:editId="4CC9E060">
            <wp:extent cx="6570980" cy="3634740"/>
            <wp:effectExtent l="0" t="0" r="1270" b="3810"/>
            <wp:docPr id="32" name="Γράφημα 32">
              <a:extLst xmlns:a="http://schemas.openxmlformats.org/drawingml/2006/main">
                <a:ext uri="{FF2B5EF4-FFF2-40B4-BE49-F238E27FC236}">
                  <a16:creationId xmlns:a16="http://schemas.microsoft.com/office/drawing/2014/main" id="{CD2B5132-1EA9-4FAD-879F-3794F2E05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343045E" w14:textId="4B04F5BC" w:rsidR="00C91692" w:rsidRPr="00E36734" w:rsidRDefault="00C91692" w:rsidP="00143079">
      <w:pPr>
        <w:spacing w:after="0" w:line="360" w:lineRule="auto"/>
        <w:jc w:val="both"/>
        <w:rPr>
          <w:rFonts w:ascii="Times New Roman" w:eastAsia="Times New Roman" w:hAnsi="Times New Roman" w:cs="Times New Roman"/>
          <w:b/>
          <w:sz w:val="24"/>
          <w:szCs w:val="24"/>
          <w:lang w:eastAsia="el-GR"/>
        </w:rPr>
      </w:pPr>
    </w:p>
    <w:p w14:paraId="185407BD" w14:textId="6AB99A5A" w:rsidR="00C91692" w:rsidRPr="00E36734" w:rsidRDefault="00C91692" w:rsidP="00143079">
      <w:pPr>
        <w:spacing w:after="0" w:line="360" w:lineRule="auto"/>
        <w:jc w:val="both"/>
        <w:rPr>
          <w:rFonts w:ascii="Times New Roman" w:eastAsia="Times New Roman" w:hAnsi="Times New Roman" w:cs="Times New Roman"/>
          <w:b/>
          <w:sz w:val="24"/>
          <w:szCs w:val="24"/>
          <w:lang w:eastAsia="el-GR"/>
        </w:rPr>
      </w:pPr>
    </w:p>
    <w:p w14:paraId="7AF3FBE4" w14:textId="17CAA73C" w:rsidR="002308D0" w:rsidRPr="00E36734" w:rsidRDefault="002308D0" w:rsidP="00487FB4">
      <w:pPr>
        <w:spacing w:after="0" w:line="240" w:lineRule="auto"/>
        <w:jc w:val="center"/>
        <w:rPr>
          <w:rFonts w:ascii="Times New Roman" w:eastAsia="Times New Roman" w:hAnsi="Times New Roman" w:cs="Times New Roman"/>
          <w:b/>
          <w:sz w:val="24"/>
          <w:szCs w:val="24"/>
          <w:lang w:val="en-US" w:eastAsia="el-GR"/>
        </w:rPr>
      </w:pPr>
      <w:r w:rsidRPr="00E36734">
        <w:rPr>
          <w:rFonts w:ascii="Times New Roman" w:eastAsia="Times New Roman" w:hAnsi="Times New Roman" w:cs="Times New Roman"/>
          <w:b/>
          <w:sz w:val="24"/>
          <w:szCs w:val="24"/>
          <w:lang w:eastAsia="el-GR"/>
        </w:rPr>
        <w:t>ΠΑΡΑΡΤΗΜΑ – ΣΥΝΘΕΣΗ ΔΕΙΓΜΑΤΟΣ</w:t>
      </w:r>
    </w:p>
    <w:p w14:paraId="7D1357EE" w14:textId="77777777" w:rsidR="00143079" w:rsidRPr="00E36734" w:rsidRDefault="00143079" w:rsidP="00143079">
      <w:pPr>
        <w:spacing w:after="0" w:line="240" w:lineRule="auto"/>
        <w:jc w:val="both"/>
        <w:rPr>
          <w:rFonts w:ascii="Times New Roman" w:eastAsia="Times New Roman" w:hAnsi="Times New Roman" w:cs="Times New Roman"/>
          <w:b/>
          <w:sz w:val="24"/>
          <w:szCs w:val="24"/>
          <w:lang w:eastAsia="el-GR"/>
        </w:rPr>
      </w:pPr>
    </w:p>
    <w:tbl>
      <w:tblPr>
        <w:tblW w:w="5000" w:type="pct"/>
        <w:tblCellMar>
          <w:left w:w="0" w:type="dxa"/>
          <w:right w:w="0" w:type="dxa"/>
        </w:tblCellMar>
        <w:tblLook w:val="0600" w:firstRow="0" w:lastRow="0" w:firstColumn="0" w:lastColumn="0" w:noHBand="1" w:noVBand="1"/>
      </w:tblPr>
      <w:tblGrid>
        <w:gridCol w:w="3885"/>
        <w:gridCol w:w="4679"/>
        <w:gridCol w:w="1811"/>
      </w:tblGrid>
      <w:tr w:rsidR="00487FB4" w:rsidRPr="00E36734" w14:paraId="3391A566" w14:textId="77777777" w:rsidTr="00487FB4">
        <w:trPr>
          <w:trHeight w:val="406"/>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DD910E0"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1C7C5C66"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0B9BC497" w14:textId="01AE3B2F"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ΚΛΑΔΟΣ</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D18D46"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 xml:space="preserve">Εμπόριο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25AE05"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37</w:t>
            </w:r>
          </w:p>
        </w:tc>
      </w:tr>
      <w:tr w:rsidR="00487FB4" w:rsidRPr="00E36734" w14:paraId="5393D29C" w14:textId="77777777" w:rsidTr="00487FB4">
        <w:trPr>
          <w:trHeight w:val="316"/>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7582FAA4"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D65572"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Μεταποίηση</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598D79A"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24.2</w:t>
            </w:r>
          </w:p>
        </w:tc>
      </w:tr>
      <w:tr w:rsidR="00487FB4" w:rsidRPr="00E36734" w14:paraId="09181A04" w14:textId="77777777" w:rsidTr="00487FB4">
        <w:trPr>
          <w:trHeight w:val="334"/>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69039631"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A5C8BE"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 xml:space="preserve">Υπηρεσίες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812ECEC"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38.8</w:t>
            </w:r>
          </w:p>
        </w:tc>
      </w:tr>
      <w:tr w:rsidR="00487FB4" w:rsidRPr="00E36734" w14:paraId="7C17A2BE" w14:textId="77777777" w:rsidTr="00487FB4">
        <w:trPr>
          <w:trHeight w:val="316"/>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1434D09"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1FC60E85"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6B890F7E"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7CAABDBA" w14:textId="24436AEC"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ΑΡΙΘΜΟΣ ΕΡΓΑΖΟΜΕΝΩΝ</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D3D8434"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Χωρίς προσωπικό</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C058DA3"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32.2</w:t>
            </w:r>
          </w:p>
        </w:tc>
      </w:tr>
      <w:tr w:rsidR="00487FB4" w:rsidRPr="00E36734" w14:paraId="2E8E0A45" w14:textId="77777777" w:rsidTr="00487FB4">
        <w:trPr>
          <w:trHeight w:val="337"/>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31CB4F08"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A3B10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1 άτομο</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CC6D69"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18.6</w:t>
            </w:r>
          </w:p>
        </w:tc>
      </w:tr>
      <w:tr w:rsidR="00487FB4" w:rsidRPr="00E36734" w14:paraId="24F3D3A0" w14:textId="77777777" w:rsidTr="00487FB4">
        <w:trPr>
          <w:trHeight w:val="319"/>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1A2CCA97"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64CE4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2-3 άτομα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4B832B"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20.3</w:t>
            </w:r>
          </w:p>
        </w:tc>
      </w:tr>
      <w:tr w:rsidR="00487FB4" w:rsidRPr="00E36734" w14:paraId="64E717F8" w14:textId="77777777" w:rsidTr="00487FB4">
        <w:trPr>
          <w:trHeight w:val="337"/>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390A7425"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116932B"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4-5 άτομα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A18CFC2"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9.6</w:t>
            </w:r>
          </w:p>
        </w:tc>
      </w:tr>
      <w:tr w:rsidR="00487FB4" w:rsidRPr="00E36734" w14:paraId="1FAC04D1" w14:textId="77777777" w:rsidTr="00487FB4">
        <w:trPr>
          <w:trHeight w:val="319"/>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108F84C6"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E5672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Πάνω από 5 άτομα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B46C50"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19</w:t>
            </w:r>
          </w:p>
        </w:tc>
      </w:tr>
      <w:tr w:rsidR="00487FB4" w:rsidRPr="00E36734" w14:paraId="51AC84EA" w14:textId="77777777" w:rsidTr="00487FB4">
        <w:trPr>
          <w:trHeight w:val="337"/>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254191E8"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872BCC"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ΔΑ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A82BFD"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0.3</w:t>
            </w:r>
          </w:p>
        </w:tc>
      </w:tr>
      <w:tr w:rsidR="00487FB4" w:rsidRPr="00E36734" w14:paraId="304BCDB6" w14:textId="77777777" w:rsidTr="00487FB4">
        <w:trPr>
          <w:trHeight w:val="316"/>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310C6B"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28720446"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5145E6A5"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3685055E" w14:textId="77777777" w:rsidR="00487FB4" w:rsidRPr="00E36734" w:rsidRDefault="00487FB4" w:rsidP="00487FB4">
            <w:pPr>
              <w:spacing w:after="0" w:line="240" w:lineRule="auto"/>
              <w:jc w:val="center"/>
              <w:textAlignment w:val="top"/>
              <w:rPr>
                <w:rFonts w:ascii="Microsoft JhengHei UI" w:eastAsia="Microsoft JhengHei UI" w:hAnsi="Microsoft JhengHei UI" w:cs="Arial"/>
                <w:color w:val="000000"/>
                <w:kern w:val="24"/>
                <w:sz w:val="16"/>
                <w:szCs w:val="16"/>
              </w:rPr>
            </w:pPr>
          </w:p>
          <w:p w14:paraId="6273F673" w14:textId="7EDE703E"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ΕΤΗ ΛΕΙΤΟΥΡΓΙΑΣ</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C273C5"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 xml:space="preserve">έως 5 χρόνια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E005CF"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6.9</w:t>
            </w:r>
          </w:p>
        </w:tc>
      </w:tr>
      <w:tr w:rsidR="00487FB4" w:rsidRPr="00E36734" w14:paraId="390032FC" w14:textId="77777777" w:rsidTr="00487FB4">
        <w:trPr>
          <w:trHeight w:val="334"/>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671F8E17"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9AF36E"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 xml:space="preserve">5-10 χρόνια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3798C18"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8.4</w:t>
            </w:r>
          </w:p>
        </w:tc>
      </w:tr>
      <w:tr w:rsidR="00487FB4" w:rsidRPr="00E36734" w14:paraId="435A62A7" w14:textId="77777777" w:rsidTr="00487FB4">
        <w:trPr>
          <w:trHeight w:val="226"/>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57B0C536"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8A9663"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 xml:space="preserve">10-15 χρόνια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B831C6"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8.7</w:t>
            </w:r>
          </w:p>
        </w:tc>
      </w:tr>
      <w:tr w:rsidR="00487FB4" w:rsidRPr="00E36734" w14:paraId="24B45EA1" w14:textId="77777777" w:rsidTr="00487FB4">
        <w:trPr>
          <w:trHeight w:val="199"/>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7D8785D1"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25AB5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Πάνω από 15 χρόνια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72C2C82"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75.7</w:t>
            </w:r>
          </w:p>
        </w:tc>
      </w:tr>
      <w:tr w:rsidR="00487FB4" w:rsidRPr="00E36734" w14:paraId="16809A5E" w14:textId="77777777" w:rsidTr="00487FB4">
        <w:trPr>
          <w:trHeight w:val="262"/>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369F1371"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B99E6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rPr>
              <w:t>ΔΑ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FFCDA2"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0.3</w:t>
            </w:r>
          </w:p>
        </w:tc>
      </w:tr>
      <w:tr w:rsidR="00487FB4" w:rsidRPr="00E36734" w14:paraId="6743887C" w14:textId="77777777" w:rsidTr="00487FB4">
        <w:trPr>
          <w:trHeight w:val="453"/>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12B88BCB"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0916E8C7"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6C00E2DC"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5C010B53"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6B5CC79D"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2421E7FE" w14:textId="2F1C4A57"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ΤΖΙΡΟΣ 2020</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3CDD32A"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Κάτω από 50.000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2ACE92"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44.6</w:t>
            </w:r>
          </w:p>
        </w:tc>
      </w:tr>
      <w:tr w:rsidR="00487FB4" w:rsidRPr="00E36734" w14:paraId="5C09E40F"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24D7E7E6"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9E816C9"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50 έως 100.000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7BEC149"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18.6</w:t>
            </w:r>
          </w:p>
        </w:tc>
      </w:tr>
      <w:tr w:rsidR="00487FB4" w:rsidRPr="00E36734" w14:paraId="565B4793"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027F0BCA"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EF3ECEB"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100-300.000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ED4D77A"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14.4</w:t>
            </w:r>
          </w:p>
        </w:tc>
      </w:tr>
      <w:tr w:rsidR="00487FB4" w:rsidRPr="00E36734" w14:paraId="0161AC77"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06D5AD98"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E7155DE"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300-500.000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CF80195"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5.7</w:t>
            </w:r>
          </w:p>
        </w:tc>
      </w:tr>
      <w:tr w:rsidR="00487FB4" w:rsidRPr="00E36734" w14:paraId="360A75AA"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1B22041C"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3046677"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500 -1.000.000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ADB9C5D"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4.2</w:t>
            </w:r>
          </w:p>
        </w:tc>
      </w:tr>
      <w:tr w:rsidR="00487FB4" w:rsidRPr="00E36734" w14:paraId="2E602828"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4A50D3B3"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9D644CF"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Πάνω από 1.000.0000</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C1A7750"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7.2</w:t>
            </w:r>
          </w:p>
        </w:tc>
      </w:tr>
      <w:tr w:rsidR="00487FB4" w:rsidRPr="00E36734" w14:paraId="2CF0B9F5"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39F1562E"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A83FFC5"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ΔΑ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4F81956"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5.3</w:t>
            </w:r>
          </w:p>
        </w:tc>
      </w:tr>
      <w:tr w:rsidR="00487FB4" w:rsidRPr="00E36734" w14:paraId="24476007" w14:textId="77777777" w:rsidTr="00487FB4">
        <w:trPr>
          <w:trHeight w:val="453"/>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2778BC4A"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60412E5C"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6C838C39"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2A1AAAF2" w14:textId="3F9C5C09"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ΠΕΡΙΟΧΗ</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C1CCF91"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lang w:val="en-US"/>
              </w:rPr>
              <w:t xml:space="preserve">EL3 </w:t>
            </w:r>
            <w:r w:rsidRPr="00E36734">
              <w:rPr>
                <w:rFonts w:ascii="Microsoft JhengHei UI" w:eastAsia="Microsoft JhengHei UI" w:hAnsi="Microsoft JhengHei UI" w:cs="Microsoft Sans Serif" w:hint="eastAsia"/>
                <w:color w:val="000000"/>
                <w:kern w:val="24"/>
                <w:sz w:val="16"/>
                <w:szCs w:val="16"/>
              </w:rPr>
              <w:t>ΑΤΤΙΚΗ</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53DCB8"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36.6</w:t>
            </w:r>
          </w:p>
        </w:tc>
      </w:tr>
      <w:tr w:rsidR="00487FB4" w:rsidRPr="00E36734" w14:paraId="523490BB"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613BB692"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AD7EA90"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lang w:val="en-US"/>
              </w:rPr>
              <w:t xml:space="preserve">EL4 </w:t>
            </w:r>
            <w:r w:rsidRPr="00E36734">
              <w:rPr>
                <w:rFonts w:ascii="Microsoft JhengHei UI" w:eastAsia="Microsoft JhengHei UI" w:hAnsi="Microsoft JhengHei UI" w:cs="Microsoft Sans Serif" w:hint="eastAsia"/>
                <w:color w:val="000000"/>
                <w:kern w:val="24"/>
                <w:sz w:val="16"/>
                <w:szCs w:val="16"/>
              </w:rPr>
              <w:t>ΝΗΣΙΑ ΑΙΓΑΙΟΥ &amp; ΚΡΗΤΗ</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4E62E3"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13</w:t>
            </w:r>
          </w:p>
        </w:tc>
      </w:tr>
      <w:tr w:rsidR="00487FB4" w:rsidRPr="00E36734" w14:paraId="4B242AAB"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45A12FD9"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3B57079"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lang w:val="en-US"/>
              </w:rPr>
              <w:t xml:space="preserve">EL5 </w:t>
            </w:r>
            <w:r w:rsidRPr="00E36734">
              <w:rPr>
                <w:rFonts w:ascii="Microsoft JhengHei UI" w:eastAsia="Microsoft JhengHei UI" w:hAnsi="Microsoft JhengHei UI" w:cs="Microsoft Sans Serif" w:hint="eastAsia"/>
                <w:color w:val="000000"/>
                <w:kern w:val="24"/>
                <w:sz w:val="16"/>
                <w:szCs w:val="16"/>
              </w:rPr>
              <w:t>ΒΟΡΕΙΑ ΕΛΛΑΔΑ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2A8A739"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27</w:t>
            </w:r>
          </w:p>
        </w:tc>
      </w:tr>
      <w:tr w:rsidR="00487FB4" w:rsidRPr="00E36734" w14:paraId="35432FC6"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4585D0CA" w14:textId="77777777" w:rsidR="00487FB4" w:rsidRPr="00E36734" w:rsidRDefault="00487FB4" w:rsidP="00487FB4">
            <w:pPr>
              <w:spacing w:after="0" w:line="240" w:lineRule="auto"/>
              <w:jc w:val="center"/>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9A7BA16"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lang w:val="en-US"/>
              </w:rPr>
              <w:t xml:space="preserve">EL6 </w:t>
            </w:r>
            <w:r w:rsidRPr="00E36734">
              <w:rPr>
                <w:rFonts w:ascii="Microsoft JhengHei UI" w:eastAsia="Microsoft JhengHei UI" w:hAnsi="Microsoft JhengHei UI" w:cs="Microsoft Sans Serif" w:hint="eastAsia"/>
                <w:color w:val="000000"/>
                <w:kern w:val="24"/>
                <w:sz w:val="16"/>
                <w:szCs w:val="16"/>
              </w:rPr>
              <w:t>ΚΕΝΤΡΙΚΗ ΕΛΛΑΔΑ</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29ABCA0"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23.5</w:t>
            </w:r>
          </w:p>
        </w:tc>
      </w:tr>
      <w:tr w:rsidR="00487FB4" w:rsidRPr="00E36734" w14:paraId="3D8DAB5B" w14:textId="77777777" w:rsidTr="00487FB4">
        <w:trPr>
          <w:trHeight w:val="453"/>
        </w:trPr>
        <w:tc>
          <w:tcPr>
            <w:tcW w:w="1872" w:type="pct"/>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hideMark/>
          </w:tcPr>
          <w:p w14:paraId="6A37E98F"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14864B5B"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1457B9AB" w14:textId="77777777" w:rsidR="00487FB4" w:rsidRPr="00E36734" w:rsidRDefault="00487FB4" w:rsidP="00487FB4">
            <w:pPr>
              <w:spacing w:after="0" w:line="240" w:lineRule="auto"/>
              <w:jc w:val="center"/>
              <w:textAlignment w:val="top"/>
              <w:rPr>
                <w:rFonts w:ascii="Microsoft JhengHei UI" w:eastAsia="Microsoft JhengHei UI" w:hAnsi="Microsoft JhengHei UI" w:cs="Microsoft Sans Serif"/>
                <w:color w:val="000000"/>
                <w:kern w:val="24"/>
                <w:sz w:val="16"/>
                <w:szCs w:val="16"/>
              </w:rPr>
            </w:pPr>
          </w:p>
          <w:p w14:paraId="6D8C9D43" w14:textId="7F0595FB" w:rsidR="00487FB4" w:rsidRPr="00E36734" w:rsidRDefault="00487FB4" w:rsidP="00487FB4">
            <w:pPr>
              <w:spacing w:after="0" w:line="240" w:lineRule="auto"/>
              <w:jc w:val="center"/>
              <w:textAlignment w:val="top"/>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ΝΟΜΙΚΗ ΜΟΡΦΗ</w:t>
            </w: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67A077B"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 xml:space="preserve">ΑΕ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27DC223"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14</w:t>
            </w:r>
          </w:p>
        </w:tc>
      </w:tr>
      <w:tr w:rsidR="00487FB4" w:rsidRPr="00E36734" w14:paraId="51968DC4"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7EF39873"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22C5E2C"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 xml:space="preserve">ΟΕ-ΕΕ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B25BB7D"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20.5</w:t>
            </w:r>
          </w:p>
        </w:tc>
      </w:tr>
      <w:tr w:rsidR="00487FB4" w:rsidRPr="00E36734" w14:paraId="3D36DED0"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17C96C80"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5542B3D"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 xml:space="preserve">ΕΠΕ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90B9A9A"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5.6</w:t>
            </w:r>
          </w:p>
        </w:tc>
      </w:tr>
      <w:tr w:rsidR="00487FB4" w:rsidRPr="00E36734" w14:paraId="0D9FF100"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7D0E955F"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385461D"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 xml:space="preserve">ΙΚΕ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ADF8FE4"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5.2</w:t>
            </w:r>
          </w:p>
        </w:tc>
      </w:tr>
      <w:tr w:rsidR="00487FB4" w:rsidRPr="00E36734" w14:paraId="21886E8A" w14:textId="77777777" w:rsidTr="00487FB4">
        <w:trPr>
          <w:trHeight w:val="453"/>
        </w:trPr>
        <w:tc>
          <w:tcPr>
            <w:tcW w:w="1872" w:type="pct"/>
            <w:vMerge/>
            <w:tcBorders>
              <w:top w:val="single" w:sz="8" w:space="0" w:color="000000"/>
              <w:left w:val="single" w:sz="8" w:space="0" w:color="000000"/>
              <w:bottom w:val="single" w:sz="8" w:space="0" w:color="000000"/>
              <w:right w:val="single" w:sz="8" w:space="0" w:color="000000"/>
            </w:tcBorders>
            <w:vAlign w:val="center"/>
            <w:hideMark/>
          </w:tcPr>
          <w:p w14:paraId="4BED584D" w14:textId="77777777" w:rsidR="00487FB4" w:rsidRPr="00E36734" w:rsidRDefault="00487FB4" w:rsidP="00487FB4">
            <w:pPr>
              <w:spacing w:after="0" w:line="240" w:lineRule="auto"/>
              <w:rPr>
                <w:rFonts w:ascii="Arial" w:eastAsia="Times New Roman" w:hAnsi="Arial" w:cs="Arial"/>
                <w:sz w:val="16"/>
                <w:szCs w:val="16"/>
                <w:lang w:val="en-US"/>
              </w:rPr>
            </w:pPr>
          </w:p>
        </w:tc>
        <w:tc>
          <w:tcPr>
            <w:tcW w:w="2255"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6170DD" w14:textId="77777777" w:rsidR="00487FB4" w:rsidRPr="00E36734" w:rsidRDefault="00487FB4" w:rsidP="00487FB4">
            <w:pPr>
              <w:spacing w:after="0" w:line="240" w:lineRule="auto"/>
              <w:textAlignment w:val="center"/>
              <w:rPr>
                <w:rFonts w:ascii="Arial" w:eastAsia="Times New Roman" w:hAnsi="Arial" w:cs="Arial"/>
                <w:sz w:val="16"/>
                <w:szCs w:val="16"/>
                <w:lang w:val="en-US"/>
              </w:rPr>
            </w:pPr>
            <w:r w:rsidRPr="00E36734">
              <w:rPr>
                <w:rFonts w:ascii="Microsoft JhengHei UI" w:eastAsia="Microsoft JhengHei UI" w:hAnsi="Microsoft JhengHei UI" w:cs="Microsoft Sans Serif" w:hint="eastAsia"/>
                <w:color w:val="000000"/>
                <w:kern w:val="24"/>
                <w:sz w:val="16"/>
                <w:szCs w:val="16"/>
              </w:rPr>
              <w:t xml:space="preserve">Ατομική </w:t>
            </w:r>
          </w:p>
        </w:tc>
        <w:tc>
          <w:tcPr>
            <w:tcW w:w="873" w:type="pc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433C7E6" w14:textId="77777777" w:rsidR="00487FB4" w:rsidRPr="00E36734" w:rsidRDefault="00487FB4" w:rsidP="00487FB4">
            <w:pPr>
              <w:spacing w:after="0" w:line="240" w:lineRule="auto"/>
              <w:jc w:val="center"/>
              <w:textAlignment w:val="center"/>
              <w:rPr>
                <w:rFonts w:ascii="Arial" w:eastAsia="Times New Roman" w:hAnsi="Arial" w:cs="Arial"/>
                <w:sz w:val="16"/>
                <w:szCs w:val="16"/>
                <w:lang w:val="en-US"/>
              </w:rPr>
            </w:pPr>
            <w:r w:rsidRPr="00E36734">
              <w:rPr>
                <w:rFonts w:ascii="Microsoft JhengHei UI" w:eastAsia="Microsoft JhengHei UI" w:hAnsi="Microsoft JhengHei UI" w:cs="Arial" w:hint="eastAsia"/>
                <w:color w:val="000000"/>
                <w:kern w:val="24"/>
                <w:sz w:val="16"/>
                <w:szCs w:val="16"/>
                <w:lang w:val="en-US"/>
              </w:rPr>
              <w:t>54.6</w:t>
            </w:r>
          </w:p>
        </w:tc>
      </w:tr>
    </w:tbl>
    <w:p w14:paraId="064FECEE" w14:textId="77777777" w:rsidR="00CC546C" w:rsidRPr="00E36734" w:rsidRDefault="00CC546C" w:rsidP="00CC546C">
      <w:pPr>
        <w:spacing w:after="0" w:line="360" w:lineRule="auto"/>
        <w:jc w:val="both"/>
        <w:rPr>
          <w:rFonts w:ascii="Times New Roman" w:eastAsia="Times New Roman" w:hAnsi="Times New Roman" w:cs="Times New Roman"/>
          <w:b/>
          <w:sz w:val="24"/>
          <w:szCs w:val="24"/>
          <w:lang w:eastAsia="el-GR"/>
        </w:rPr>
      </w:pPr>
      <w:r w:rsidRPr="00E36734">
        <w:rPr>
          <w:rFonts w:ascii="Times New Roman" w:eastAsia="Times New Roman" w:hAnsi="Times New Roman" w:cs="Times New Roman"/>
          <w:b/>
          <w:sz w:val="24"/>
          <w:szCs w:val="24"/>
          <w:lang w:eastAsia="el-GR"/>
        </w:rPr>
        <w:lastRenderedPageBreak/>
        <w:t>Η έρευνα υλοποιήθηκε στο πλαίσιο του έργου «Παρεμβάσεις της ΓΣΕΒΕΕ για τη συστηματική παρακολούθηση και πρόγνωση αλλαγών του παραγωγικού και επιχειρηματικού περιβάλλοντος των μικρομεσαίων επιχειρήσεων» με κωδικό ΟΠΣ 5003864. Το έργο συγχρηματοδοτείται από την Ελλάδα και την Ευρωπαϊκή Ένωση (Ευρωπαϊκό Κοινωνικό Ταμείο) μέσω του Επιχειρησιακού Προγράμματος «Ανταγωνιστικότητα, Επιχειρηματικότητα &amp; Καινοτομία 2014-2020».</w:t>
      </w:r>
    </w:p>
    <w:p w14:paraId="434111EB" w14:textId="77777777" w:rsidR="00CC546C" w:rsidRPr="00E36734" w:rsidRDefault="00CC546C" w:rsidP="00CC546C">
      <w:pPr>
        <w:spacing w:after="0" w:line="360" w:lineRule="auto"/>
        <w:jc w:val="both"/>
        <w:rPr>
          <w:rFonts w:ascii="Times New Roman" w:eastAsia="Times New Roman" w:hAnsi="Times New Roman" w:cs="Times New Roman"/>
          <w:sz w:val="24"/>
          <w:szCs w:val="24"/>
          <w:lang w:eastAsia="el-GR"/>
        </w:rPr>
      </w:pPr>
    </w:p>
    <w:p w14:paraId="32594BB3" w14:textId="77777777" w:rsidR="00CC546C" w:rsidRPr="00761263" w:rsidRDefault="00CC546C" w:rsidP="00CC546C">
      <w:pPr>
        <w:spacing w:after="0" w:line="360" w:lineRule="auto"/>
        <w:jc w:val="both"/>
        <w:rPr>
          <w:rFonts w:ascii="Times New Roman" w:eastAsia="Times New Roman" w:hAnsi="Times New Roman" w:cs="Times New Roman"/>
          <w:sz w:val="24"/>
          <w:szCs w:val="24"/>
          <w:lang w:eastAsia="el-GR"/>
        </w:rPr>
      </w:pPr>
      <w:r w:rsidRPr="00E36734">
        <w:rPr>
          <w:noProof/>
          <w:lang w:eastAsia="el-GR"/>
        </w:rPr>
        <w:drawing>
          <wp:inline distT="0" distB="0" distL="0" distR="0" wp14:anchorId="42A0B797" wp14:editId="2AB00728">
            <wp:extent cx="6562718" cy="942975"/>
            <wp:effectExtent l="0" t="0" r="0" b="0"/>
            <wp:docPr id="5" name="Εικόνα 5" descr="C:\Users\Thanopoulos\AppData\Local\Microsoft\Windows\INetCache\Content.Word\Ypourgeio-ependyseis3ΕΚ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opoulos\AppData\Local\Microsoft\Windows\INetCache\Content.Word\Ypourgeio-ependyseis3ΕΚΤ.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70980" cy="944162"/>
                    </a:xfrm>
                    <a:prstGeom prst="rect">
                      <a:avLst/>
                    </a:prstGeom>
                    <a:noFill/>
                    <a:ln>
                      <a:noFill/>
                    </a:ln>
                  </pic:spPr>
                </pic:pic>
              </a:graphicData>
            </a:graphic>
          </wp:inline>
        </w:drawing>
      </w:r>
    </w:p>
    <w:p w14:paraId="26B9D803" w14:textId="77777777" w:rsidR="00CC546C" w:rsidRDefault="00CC546C" w:rsidP="00CC546C">
      <w:pPr>
        <w:spacing w:after="0" w:line="240" w:lineRule="auto"/>
        <w:jc w:val="center"/>
        <w:rPr>
          <w:rFonts w:ascii="Times New Roman" w:eastAsia="Times New Roman" w:hAnsi="Times New Roman" w:cs="Times New Roman"/>
          <w:b/>
          <w:sz w:val="24"/>
          <w:szCs w:val="24"/>
          <w:lang w:eastAsia="el-GR"/>
        </w:rPr>
      </w:pPr>
    </w:p>
    <w:bookmarkEnd w:id="0"/>
    <w:p w14:paraId="34AF7184" w14:textId="77777777" w:rsidR="00487FB4" w:rsidRPr="00761263" w:rsidRDefault="00487FB4" w:rsidP="00143079">
      <w:pPr>
        <w:spacing w:after="0" w:line="360" w:lineRule="auto"/>
        <w:jc w:val="both"/>
        <w:rPr>
          <w:rFonts w:ascii="Times New Roman" w:eastAsia="Times New Roman" w:hAnsi="Times New Roman" w:cs="Times New Roman"/>
          <w:color w:val="FF0000"/>
          <w:sz w:val="24"/>
          <w:szCs w:val="24"/>
          <w:lang w:eastAsia="el-GR"/>
        </w:rPr>
      </w:pPr>
    </w:p>
    <w:sectPr w:rsidR="00487FB4" w:rsidRPr="00761263" w:rsidSect="006E7CAE">
      <w:headerReference w:type="default" r:id="rId34"/>
      <w:footerReference w:type="default" r:id="rId35"/>
      <w:pgSz w:w="11906" w:h="16838"/>
      <w:pgMar w:top="1440" w:right="849" w:bottom="1440"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625D7" w14:textId="77777777" w:rsidR="00137133" w:rsidRDefault="00137133">
      <w:pPr>
        <w:spacing w:after="0" w:line="240" w:lineRule="auto"/>
      </w:pPr>
      <w:r>
        <w:separator/>
      </w:r>
    </w:p>
  </w:endnote>
  <w:endnote w:type="continuationSeparator" w:id="0">
    <w:p w14:paraId="2A8ECBDA" w14:textId="77777777" w:rsidR="00137133" w:rsidRDefault="0013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mn-cs">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854802"/>
      <w:docPartObj>
        <w:docPartGallery w:val="Page Numbers (Bottom of Page)"/>
        <w:docPartUnique/>
      </w:docPartObj>
    </w:sdtPr>
    <w:sdtEndPr>
      <w:rPr>
        <w:noProof/>
      </w:rPr>
    </w:sdtEndPr>
    <w:sdtContent>
      <w:p w14:paraId="278A04C6" w14:textId="58022776" w:rsidR="00C83512" w:rsidRDefault="00C83512">
        <w:pPr>
          <w:pStyle w:val="a8"/>
          <w:jc w:val="right"/>
        </w:pPr>
        <w:r>
          <w:fldChar w:fldCharType="begin"/>
        </w:r>
        <w:r>
          <w:instrText xml:space="preserve"> PAGE   \* MERGEFORMAT </w:instrText>
        </w:r>
        <w:r>
          <w:fldChar w:fldCharType="separate"/>
        </w:r>
        <w:r w:rsidR="00730F7E">
          <w:rPr>
            <w:noProof/>
          </w:rPr>
          <w:t>1</w:t>
        </w:r>
        <w:r>
          <w:rPr>
            <w:noProof/>
          </w:rPr>
          <w:fldChar w:fldCharType="end"/>
        </w:r>
      </w:p>
    </w:sdtContent>
  </w:sdt>
  <w:p w14:paraId="74E5F68B" w14:textId="77777777" w:rsidR="00C83512" w:rsidRDefault="00C8351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3FD5" w14:textId="77777777" w:rsidR="00137133" w:rsidRDefault="00137133">
      <w:pPr>
        <w:spacing w:after="0" w:line="240" w:lineRule="auto"/>
      </w:pPr>
      <w:r>
        <w:separator/>
      </w:r>
    </w:p>
  </w:footnote>
  <w:footnote w:type="continuationSeparator" w:id="0">
    <w:p w14:paraId="2A2A261C" w14:textId="77777777" w:rsidR="00137133" w:rsidRDefault="00137133">
      <w:pPr>
        <w:spacing w:after="0" w:line="240" w:lineRule="auto"/>
      </w:pPr>
      <w:r>
        <w:continuationSeparator/>
      </w:r>
    </w:p>
  </w:footnote>
  <w:footnote w:id="1">
    <w:p w14:paraId="186FAAAA" w14:textId="462348E1" w:rsidR="00C83512" w:rsidRPr="00C80938" w:rsidRDefault="00C83512" w:rsidP="00C80938">
      <w:pPr>
        <w:spacing w:after="0" w:line="360" w:lineRule="auto"/>
        <w:jc w:val="both"/>
        <w:rPr>
          <w:rFonts w:ascii="Times New Roman" w:hAnsi="Times New Roman" w:cs="Times New Roman"/>
          <w:sz w:val="16"/>
          <w:szCs w:val="16"/>
        </w:rPr>
      </w:pPr>
      <w:r w:rsidRPr="00B841AC">
        <w:rPr>
          <w:rStyle w:val="ae"/>
        </w:rPr>
        <w:footnoteRef/>
      </w:r>
      <w:r w:rsidRPr="00B841AC">
        <w:t xml:space="preserve"> </w:t>
      </w:r>
      <w:r w:rsidRPr="00B841AC">
        <w:rPr>
          <w:rFonts w:ascii="Times New Roman" w:hAnsi="Times New Roman" w:cs="Times New Roman"/>
          <w:sz w:val="16"/>
          <w:szCs w:val="16"/>
        </w:rPr>
        <w:t>Η παρούσα έρευνα είναι η πρώτη για το 2021 που διεξάγει το Ινστιτούτο Μικρών Επιχειρήσεων της ΓΣΕΒΕΕ</w:t>
      </w:r>
      <w:r w:rsidRPr="00B841AC">
        <w:t xml:space="preserve"> </w:t>
      </w:r>
      <w:r w:rsidRPr="00B841AC">
        <w:rPr>
          <w:rFonts w:ascii="Times New Roman" w:hAnsi="Times New Roman" w:cs="Times New Roman"/>
          <w:sz w:val="16"/>
          <w:szCs w:val="16"/>
        </w:rPr>
        <w:t>σε εξαμηνιαία βάση από τον Μάιο του 2009 . Οι τηλεφωνικές συνεντεύξεις διενεργήθηκαν από την εταιρία MARC AE σε πανελλαδικό δείγμα 801 πολύ μικρών και μικρών επιχειρήσεων (0-49 άτομα προσωπικό), στο διάστημα 10-24 Φεβρουαρίου 2021. Η έρευνα έχει ως</w:t>
      </w:r>
      <w:r w:rsidRPr="00C80938">
        <w:rPr>
          <w:rFonts w:ascii="Times New Roman" w:hAnsi="Times New Roman" w:cs="Times New Roman"/>
          <w:sz w:val="16"/>
          <w:szCs w:val="16"/>
        </w:rPr>
        <w:t xml:space="preserve"> βασικό στόχο την αποτύπωση του οικονομικού κλίματος στις πολύ μικρές και μικρές επιχειρήσεις, στους κλάδους της μεταποίησης, του εμπορίου και των υπηρεσιών, που αποτελούν το 99,6% των επιχειρήσεων στην Ελλάδα. Τα ευρήματα αυτής της έρευνας μπορούν να συγκριθούν με τα αντίστοιχα των προηγούμενων ερευνών (Μάιος 2009 – Ιούλιος 2020). Οι έρευνες αυτές αποτελούν το μοναδικό εργαλείο, σε πανελλαδικό επίπεδο, για την καταγραφή της κατάστασης και της πορείας του μεγαλύτερου τμήματος της πραγματικής οικονομίας στην Ελλάδα. Τα πρωτογενή δεδομένα οικονομικών και επιχειρηματικών προσδοκιών χρησιμοποιούνται από την Ευρωπαϊκή Συνομοσπονδία Μικρομεσαίων Επιχειρήσεων (</w:t>
      </w:r>
      <w:r w:rsidRPr="00C80938">
        <w:rPr>
          <w:rFonts w:ascii="Times New Roman" w:hAnsi="Times New Roman" w:cs="Times New Roman"/>
          <w:sz w:val="16"/>
          <w:szCs w:val="16"/>
          <w:lang w:val="en-US"/>
        </w:rPr>
        <w:t>SME</w:t>
      </w:r>
      <w:r w:rsidRPr="00C80938">
        <w:rPr>
          <w:rFonts w:ascii="Times New Roman" w:hAnsi="Times New Roman" w:cs="Times New Roman"/>
          <w:sz w:val="16"/>
          <w:szCs w:val="16"/>
        </w:rPr>
        <w:t xml:space="preserve"> </w:t>
      </w:r>
      <w:r w:rsidRPr="00C80938">
        <w:rPr>
          <w:rFonts w:ascii="Times New Roman" w:hAnsi="Times New Roman" w:cs="Times New Roman"/>
          <w:sz w:val="16"/>
          <w:szCs w:val="16"/>
          <w:lang w:val="en-US"/>
        </w:rPr>
        <w:t>United</w:t>
      </w:r>
      <w:r w:rsidRPr="00C80938">
        <w:rPr>
          <w:rFonts w:ascii="Times New Roman" w:hAnsi="Times New Roman" w:cs="Times New Roman"/>
          <w:sz w:val="16"/>
          <w:szCs w:val="16"/>
        </w:rPr>
        <w:t xml:space="preserve">) για την κατασκευή των δεικτών ευρωπαϊκού οικονομικού κλίματος και είναι συγκρίσιμα με τα στοιχεία άλλων χωρών της ΕΕ. </w:t>
      </w:r>
      <w:r>
        <w:rPr>
          <w:rFonts w:ascii="Times New Roman" w:hAnsi="Times New Roman" w:cs="Times New Roman"/>
          <w:sz w:val="16"/>
          <w:szCs w:val="16"/>
        </w:rPr>
        <w:t xml:space="preserve"> </w:t>
      </w:r>
      <w:r w:rsidRPr="00C80938">
        <w:rPr>
          <w:rFonts w:ascii="Times New Roman" w:hAnsi="Times New Roman" w:cs="Times New Roman"/>
          <w:sz w:val="16"/>
          <w:szCs w:val="16"/>
        </w:rPr>
        <w:t>Όπως και στις προηγούμενες έρευνες, έτσι και τώρα, υπάρχει μια σαφής καταγραφή των τάσεων του οικονομικού κλίματος καθώς και η παρακολούθηση των βασικών δεικτών λειτουργίας των μικρών επιχειρήσεων κατά το 2ο εξάμηνο του 2020, ενώ παράλληλα επιχειρείται οικονομική πρόβλεψη για το 1ο εξάμηνο του 2021.</w:t>
      </w:r>
    </w:p>
    <w:p w14:paraId="333A935F" w14:textId="0EF30052" w:rsidR="00C83512" w:rsidRDefault="00C83512">
      <w:pPr>
        <w:pStyle w:val="ad"/>
      </w:pPr>
    </w:p>
  </w:footnote>
  <w:footnote w:id="2">
    <w:p w14:paraId="4BB96318" w14:textId="77777777" w:rsidR="00C83512" w:rsidRDefault="00C83512" w:rsidP="000A0DC2">
      <w:pPr>
        <w:pStyle w:val="ad"/>
      </w:pPr>
      <w:r>
        <w:rPr>
          <w:rStyle w:val="ae"/>
        </w:rPr>
        <w:footnoteRef/>
      </w:r>
      <w:r>
        <w:t xml:space="preserve"> Δελτία Τύπου ΕΛΣΤΑΤ:</w:t>
      </w:r>
    </w:p>
    <w:p w14:paraId="221B6331" w14:textId="77777777" w:rsidR="00C83512" w:rsidRDefault="00C83512" w:rsidP="000A0DC2">
      <w:pPr>
        <w:pStyle w:val="ad"/>
      </w:pPr>
      <w:r>
        <w:t>α) ΔΕΙΚΤΗΣ ΤΙΜΩΝ ΚΑΤΑΝΑΛΩΤΗ: Δεκέμβριος 2020</w:t>
      </w:r>
    </w:p>
    <w:p w14:paraId="4740C337" w14:textId="0FB90F9E" w:rsidR="00C83512" w:rsidRDefault="00C83512" w:rsidP="000A0DC2">
      <w:pPr>
        <w:pStyle w:val="ad"/>
      </w:pPr>
      <w:r>
        <w:t>β) ΤΡΙΜΗΝΙΑΙΟΙ ΕΘΝΙΚΟΙ ΛΟΓΑΡΙΑΣΜΟΙ 4ο Τρίμηνο 2020</w:t>
      </w:r>
    </w:p>
  </w:footnote>
  <w:footnote w:id="3">
    <w:p w14:paraId="5EED4C71" w14:textId="3EC4BCE8" w:rsidR="00C83512" w:rsidRDefault="00C83512">
      <w:pPr>
        <w:pStyle w:val="ad"/>
      </w:pPr>
      <w:r w:rsidRPr="008D6CAD">
        <w:rPr>
          <w:rStyle w:val="ae"/>
        </w:rPr>
        <w:footnoteRef/>
      </w:r>
      <w:r w:rsidRPr="008D6CAD">
        <w:t xml:space="preserve"> Έρευνα Εργατικού Δυναμικού – Δ τρίμηνο 2020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79771" w14:textId="77777777" w:rsidR="00C83512" w:rsidRDefault="00C83512">
    <w:pPr>
      <w:pStyle w:val="a7"/>
    </w:pPr>
    <w:r>
      <w:rPr>
        <w:noProof/>
        <w:lang w:eastAsia="el-GR"/>
      </w:rPr>
      <w:drawing>
        <wp:inline distT="0" distB="0" distL="0" distR="0" wp14:anchorId="555D6B99" wp14:editId="7BF5B88D">
          <wp:extent cx="1579155" cy="594360"/>
          <wp:effectExtent l="0" t="0" r="2540" b="0"/>
          <wp:docPr id="18" name="Εικόνα 10" descr="C:\Users\Thanopoulos\AppData\Local\Microsoft\Windows\INetCache\Content.Outlook\B5LN3GZV\ιμε μπορντώ.jpg"/>
          <wp:cNvGraphicFramePr/>
          <a:graphic xmlns:a="http://schemas.openxmlformats.org/drawingml/2006/main">
            <a:graphicData uri="http://schemas.openxmlformats.org/drawingml/2006/picture">
              <pic:pic xmlns:pic="http://schemas.openxmlformats.org/drawingml/2006/picture">
                <pic:nvPicPr>
                  <pic:cNvPr id="11" name="Εικόνα 10" descr="C:\Users\Thanopoulos\AppData\Local\Microsoft\Windows\INetCache\Content.Outlook\B5LN3GZV\ιμε μπορντώ.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176" cy="59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9D"/>
    <w:multiLevelType w:val="hybridMultilevel"/>
    <w:tmpl w:val="94085D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0402E8"/>
    <w:multiLevelType w:val="hybridMultilevel"/>
    <w:tmpl w:val="6B1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A138B"/>
    <w:multiLevelType w:val="hybridMultilevel"/>
    <w:tmpl w:val="5ECE7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DCD416F"/>
    <w:multiLevelType w:val="hybridMultilevel"/>
    <w:tmpl w:val="E7C8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A342E"/>
    <w:multiLevelType w:val="hybridMultilevel"/>
    <w:tmpl w:val="1D582A38"/>
    <w:lvl w:ilvl="0" w:tplc="388492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73D4D"/>
    <w:multiLevelType w:val="hybridMultilevel"/>
    <w:tmpl w:val="F718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12548"/>
    <w:multiLevelType w:val="hybridMultilevel"/>
    <w:tmpl w:val="1C3C9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9A1735"/>
    <w:multiLevelType w:val="hybridMultilevel"/>
    <w:tmpl w:val="E4F87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6037C2D"/>
    <w:multiLevelType w:val="hybridMultilevel"/>
    <w:tmpl w:val="CBE480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628757E"/>
    <w:multiLevelType w:val="hybridMultilevel"/>
    <w:tmpl w:val="8DCEC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7364CF"/>
    <w:multiLevelType w:val="hybridMultilevel"/>
    <w:tmpl w:val="7586FE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7A016E"/>
    <w:multiLevelType w:val="hybridMultilevel"/>
    <w:tmpl w:val="716CCEA4"/>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66B7354"/>
    <w:multiLevelType w:val="hybridMultilevel"/>
    <w:tmpl w:val="7A1A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C7634"/>
    <w:multiLevelType w:val="hybridMultilevel"/>
    <w:tmpl w:val="DF369E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3F142F"/>
    <w:multiLevelType w:val="hybridMultilevel"/>
    <w:tmpl w:val="5B3E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35DD8"/>
    <w:multiLevelType w:val="hybridMultilevel"/>
    <w:tmpl w:val="31B6607C"/>
    <w:lvl w:ilvl="0" w:tplc="0CD257A0">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F416DD4"/>
    <w:multiLevelType w:val="hybridMultilevel"/>
    <w:tmpl w:val="51467BBC"/>
    <w:lvl w:ilvl="0" w:tplc="04080001">
      <w:start w:val="1"/>
      <w:numFmt w:val="bullet"/>
      <w:lvlText w:val=""/>
      <w:lvlJc w:val="left"/>
      <w:pPr>
        <w:ind w:left="363" w:hanging="360"/>
      </w:pPr>
      <w:rPr>
        <w:rFonts w:ascii="Symbol" w:hAnsi="Symbol" w:hint="default"/>
      </w:rPr>
    </w:lvl>
    <w:lvl w:ilvl="1" w:tplc="04080003">
      <w:start w:val="1"/>
      <w:numFmt w:val="bullet"/>
      <w:lvlText w:val="o"/>
      <w:lvlJc w:val="left"/>
      <w:pPr>
        <w:ind w:left="1083" w:hanging="360"/>
      </w:pPr>
      <w:rPr>
        <w:rFonts w:ascii="Courier New" w:hAnsi="Courier New" w:cs="Courier New" w:hint="default"/>
      </w:rPr>
    </w:lvl>
    <w:lvl w:ilvl="2" w:tplc="04080005" w:tentative="1">
      <w:start w:val="1"/>
      <w:numFmt w:val="bullet"/>
      <w:lvlText w:val=""/>
      <w:lvlJc w:val="left"/>
      <w:pPr>
        <w:ind w:left="1803" w:hanging="360"/>
      </w:pPr>
      <w:rPr>
        <w:rFonts w:ascii="Wingdings" w:hAnsi="Wingdings" w:hint="default"/>
      </w:rPr>
    </w:lvl>
    <w:lvl w:ilvl="3" w:tplc="04080001" w:tentative="1">
      <w:start w:val="1"/>
      <w:numFmt w:val="bullet"/>
      <w:lvlText w:val=""/>
      <w:lvlJc w:val="left"/>
      <w:pPr>
        <w:ind w:left="2523" w:hanging="360"/>
      </w:pPr>
      <w:rPr>
        <w:rFonts w:ascii="Symbol" w:hAnsi="Symbol" w:hint="default"/>
      </w:rPr>
    </w:lvl>
    <w:lvl w:ilvl="4" w:tplc="04080003" w:tentative="1">
      <w:start w:val="1"/>
      <w:numFmt w:val="bullet"/>
      <w:lvlText w:val="o"/>
      <w:lvlJc w:val="left"/>
      <w:pPr>
        <w:ind w:left="3243" w:hanging="360"/>
      </w:pPr>
      <w:rPr>
        <w:rFonts w:ascii="Courier New" w:hAnsi="Courier New" w:cs="Courier New" w:hint="default"/>
      </w:rPr>
    </w:lvl>
    <w:lvl w:ilvl="5" w:tplc="04080005" w:tentative="1">
      <w:start w:val="1"/>
      <w:numFmt w:val="bullet"/>
      <w:lvlText w:val=""/>
      <w:lvlJc w:val="left"/>
      <w:pPr>
        <w:ind w:left="3963" w:hanging="360"/>
      </w:pPr>
      <w:rPr>
        <w:rFonts w:ascii="Wingdings" w:hAnsi="Wingdings" w:hint="default"/>
      </w:rPr>
    </w:lvl>
    <w:lvl w:ilvl="6" w:tplc="04080001" w:tentative="1">
      <w:start w:val="1"/>
      <w:numFmt w:val="bullet"/>
      <w:lvlText w:val=""/>
      <w:lvlJc w:val="left"/>
      <w:pPr>
        <w:ind w:left="4683" w:hanging="360"/>
      </w:pPr>
      <w:rPr>
        <w:rFonts w:ascii="Symbol" w:hAnsi="Symbol" w:hint="default"/>
      </w:rPr>
    </w:lvl>
    <w:lvl w:ilvl="7" w:tplc="04080003" w:tentative="1">
      <w:start w:val="1"/>
      <w:numFmt w:val="bullet"/>
      <w:lvlText w:val="o"/>
      <w:lvlJc w:val="left"/>
      <w:pPr>
        <w:ind w:left="5403" w:hanging="360"/>
      </w:pPr>
      <w:rPr>
        <w:rFonts w:ascii="Courier New" w:hAnsi="Courier New" w:cs="Courier New" w:hint="default"/>
      </w:rPr>
    </w:lvl>
    <w:lvl w:ilvl="8" w:tplc="04080005" w:tentative="1">
      <w:start w:val="1"/>
      <w:numFmt w:val="bullet"/>
      <w:lvlText w:val=""/>
      <w:lvlJc w:val="left"/>
      <w:pPr>
        <w:ind w:left="6123" w:hanging="360"/>
      </w:pPr>
      <w:rPr>
        <w:rFonts w:ascii="Wingdings" w:hAnsi="Wingdings" w:hint="default"/>
      </w:rPr>
    </w:lvl>
  </w:abstractNum>
  <w:abstractNum w:abstractNumId="17" w15:restartNumberingAfterBreak="0">
    <w:nsid w:val="745A6A3C"/>
    <w:multiLevelType w:val="hybridMultilevel"/>
    <w:tmpl w:val="AC1AE49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7D8C24FD"/>
    <w:multiLevelType w:val="hybridMultilevel"/>
    <w:tmpl w:val="0464E4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8"/>
  </w:num>
  <w:num w:numId="5">
    <w:abstractNumId w:val="2"/>
  </w:num>
  <w:num w:numId="6">
    <w:abstractNumId w:val="15"/>
  </w:num>
  <w:num w:numId="7">
    <w:abstractNumId w:val="9"/>
  </w:num>
  <w:num w:numId="8">
    <w:abstractNumId w:val="16"/>
  </w:num>
  <w:num w:numId="9">
    <w:abstractNumId w:val="18"/>
  </w:num>
  <w:num w:numId="10">
    <w:abstractNumId w:val="14"/>
  </w:num>
  <w:num w:numId="11">
    <w:abstractNumId w:val="7"/>
  </w:num>
  <w:num w:numId="12">
    <w:abstractNumId w:val="12"/>
  </w:num>
  <w:num w:numId="13">
    <w:abstractNumId w:val="6"/>
  </w:num>
  <w:num w:numId="14">
    <w:abstractNumId w:val="5"/>
  </w:num>
  <w:num w:numId="15">
    <w:abstractNumId w:val="3"/>
  </w:num>
  <w:num w:numId="16">
    <w:abstractNumId w:val="17"/>
  </w:num>
  <w:num w:numId="17">
    <w:abstractNumId w:val="4"/>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57F"/>
    <w:rsid w:val="00002179"/>
    <w:rsid w:val="00004C66"/>
    <w:rsid w:val="00032562"/>
    <w:rsid w:val="00035701"/>
    <w:rsid w:val="00060F92"/>
    <w:rsid w:val="0007054F"/>
    <w:rsid w:val="000948E7"/>
    <w:rsid w:val="00094C0D"/>
    <w:rsid w:val="000A0DC2"/>
    <w:rsid w:val="000A34B1"/>
    <w:rsid w:val="000B20F5"/>
    <w:rsid w:val="000B2D69"/>
    <w:rsid w:val="000D303E"/>
    <w:rsid w:val="000D37CB"/>
    <w:rsid w:val="000E395F"/>
    <w:rsid w:val="000E4A7F"/>
    <w:rsid w:val="000E5AE6"/>
    <w:rsid w:val="00117974"/>
    <w:rsid w:val="00121769"/>
    <w:rsid w:val="00137133"/>
    <w:rsid w:val="00141F8B"/>
    <w:rsid w:val="00143079"/>
    <w:rsid w:val="001465D5"/>
    <w:rsid w:val="001538D2"/>
    <w:rsid w:val="00170F96"/>
    <w:rsid w:val="0017211B"/>
    <w:rsid w:val="001765DA"/>
    <w:rsid w:val="001A4A72"/>
    <w:rsid w:val="001A7AB7"/>
    <w:rsid w:val="001D2F4E"/>
    <w:rsid w:val="001E14E7"/>
    <w:rsid w:val="001E56CB"/>
    <w:rsid w:val="001F3396"/>
    <w:rsid w:val="001F7AC4"/>
    <w:rsid w:val="00204FC2"/>
    <w:rsid w:val="00207047"/>
    <w:rsid w:val="002103D0"/>
    <w:rsid w:val="0021116B"/>
    <w:rsid w:val="002157CB"/>
    <w:rsid w:val="0021650B"/>
    <w:rsid w:val="00223FF0"/>
    <w:rsid w:val="002308D0"/>
    <w:rsid w:val="0024078D"/>
    <w:rsid w:val="0024372F"/>
    <w:rsid w:val="002452C5"/>
    <w:rsid w:val="00246CED"/>
    <w:rsid w:val="00251B57"/>
    <w:rsid w:val="002603E7"/>
    <w:rsid w:val="0026178A"/>
    <w:rsid w:val="00270290"/>
    <w:rsid w:val="00274A97"/>
    <w:rsid w:val="002827F0"/>
    <w:rsid w:val="002859EE"/>
    <w:rsid w:val="00295BAA"/>
    <w:rsid w:val="002A2333"/>
    <w:rsid w:val="002A4EF2"/>
    <w:rsid w:val="002B0267"/>
    <w:rsid w:val="002D19D7"/>
    <w:rsid w:val="002D603B"/>
    <w:rsid w:val="002E3138"/>
    <w:rsid w:val="00302A44"/>
    <w:rsid w:val="00307DCA"/>
    <w:rsid w:val="00314F06"/>
    <w:rsid w:val="00344F20"/>
    <w:rsid w:val="00352F49"/>
    <w:rsid w:val="0035471D"/>
    <w:rsid w:val="003665D8"/>
    <w:rsid w:val="003726B2"/>
    <w:rsid w:val="00372A24"/>
    <w:rsid w:val="00374CCF"/>
    <w:rsid w:val="0037683D"/>
    <w:rsid w:val="0038050E"/>
    <w:rsid w:val="003849FE"/>
    <w:rsid w:val="00396DF7"/>
    <w:rsid w:val="003A31D9"/>
    <w:rsid w:val="003B08A9"/>
    <w:rsid w:val="003B2986"/>
    <w:rsid w:val="003B4F9C"/>
    <w:rsid w:val="003C733C"/>
    <w:rsid w:val="003E70BF"/>
    <w:rsid w:val="003F18A9"/>
    <w:rsid w:val="00400FF8"/>
    <w:rsid w:val="0040254E"/>
    <w:rsid w:val="00411D45"/>
    <w:rsid w:val="00416A27"/>
    <w:rsid w:val="00425E4A"/>
    <w:rsid w:val="00436AF7"/>
    <w:rsid w:val="00440412"/>
    <w:rsid w:val="00445572"/>
    <w:rsid w:val="004568FB"/>
    <w:rsid w:val="00460AC4"/>
    <w:rsid w:val="004622B0"/>
    <w:rsid w:val="0047336F"/>
    <w:rsid w:val="004743E2"/>
    <w:rsid w:val="00483ED8"/>
    <w:rsid w:val="00485B12"/>
    <w:rsid w:val="00487FB4"/>
    <w:rsid w:val="00495E12"/>
    <w:rsid w:val="004A1D99"/>
    <w:rsid w:val="004B7C0A"/>
    <w:rsid w:val="004C0E5E"/>
    <w:rsid w:val="004D3693"/>
    <w:rsid w:val="004F497A"/>
    <w:rsid w:val="00514FFC"/>
    <w:rsid w:val="00515020"/>
    <w:rsid w:val="00515537"/>
    <w:rsid w:val="00525F15"/>
    <w:rsid w:val="0053342E"/>
    <w:rsid w:val="00536468"/>
    <w:rsid w:val="00536E72"/>
    <w:rsid w:val="00547F34"/>
    <w:rsid w:val="005A5E9C"/>
    <w:rsid w:val="005C06B9"/>
    <w:rsid w:val="005C0F84"/>
    <w:rsid w:val="005C627F"/>
    <w:rsid w:val="005C74C7"/>
    <w:rsid w:val="005D2068"/>
    <w:rsid w:val="005E0770"/>
    <w:rsid w:val="005E3EAF"/>
    <w:rsid w:val="005E5285"/>
    <w:rsid w:val="005F6010"/>
    <w:rsid w:val="00625028"/>
    <w:rsid w:val="00650B17"/>
    <w:rsid w:val="00655A77"/>
    <w:rsid w:val="00675005"/>
    <w:rsid w:val="00685193"/>
    <w:rsid w:val="0069456F"/>
    <w:rsid w:val="00694711"/>
    <w:rsid w:val="00696AF7"/>
    <w:rsid w:val="00697011"/>
    <w:rsid w:val="006A1075"/>
    <w:rsid w:val="006C1482"/>
    <w:rsid w:val="006C3DAB"/>
    <w:rsid w:val="006D0D98"/>
    <w:rsid w:val="006E7CAE"/>
    <w:rsid w:val="006F0247"/>
    <w:rsid w:val="00702E6E"/>
    <w:rsid w:val="00710DBA"/>
    <w:rsid w:val="007252E8"/>
    <w:rsid w:val="007264A1"/>
    <w:rsid w:val="00726A9A"/>
    <w:rsid w:val="00730A63"/>
    <w:rsid w:val="00730F7E"/>
    <w:rsid w:val="00750E32"/>
    <w:rsid w:val="00752037"/>
    <w:rsid w:val="00761263"/>
    <w:rsid w:val="00783670"/>
    <w:rsid w:val="00785AB0"/>
    <w:rsid w:val="007A224C"/>
    <w:rsid w:val="007E56A7"/>
    <w:rsid w:val="007E59BF"/>
    <w:rsid w:val="0082015F"/>
    <w:rsid w:val="00821B05"/>
    <w:rsid w:val="008345E1"/>
    <w:rsid w:val="008345E5"/>
    <w:rsid w:val="008452A1"/>
    <w:rsid w:val="00851D68"/>
    <w:rsid w:val="00854D7F"/>
    <w:rsid w:val="0085646C"/>
    <w:rsid w:val="00856E24"/>
    <w:rsid w:val="008623E3"/>
    <w:rsid w:val="00874903"/>
    <w:rsid w:val="00876EEE"/>
    <w:rsid w:val="00884AC9"/>
    <w:rsid w:val="00885F58"/>
    <w:rsid w:val="008A266B"/>
    <w:rsid w:val="008A541F"/>
    <w:rsid w:val="008A710D"/>
    <w:rsid w:val="008B11AB"/>
    <w:rsid w:val="008B6EB3"/>
    <w:rsid w:val="008C7281"/>
    <w:rsid w:val="008C7FF0"/>
    <w:rsid w:val="008D6CAD"/>
    <w:rsid w:val="008E3E65"/>
    <w:rsid w:val="008F4BD9"/>
    <w:rsid w:val="009048DD"/>
    <w:rsid w:val="00906C6F"/>
    <w:rsid w:val="00911788"/>
    <w:rsid w:val="0091560F"/>
    <w:rsid w:val="00923D8D"/>
    <w:rsid w:val="0094360A"/>
    <w:rsid w:val="0094509D"/>
    <w:rsid w:val="00947F85"/>
    <w:rsid w:val="00952337"/>
    <w:rsid w:val="00971CF2"/>
    <w:rsid w:val="00982B33"/>
    <w:rsid w:val="00985484"/>
    <w:rsid w:val="00985D49"/>
    <w:rsid w:val="009916D3"/>
    <w:rsid w:val="00993DDC"/>
    <w:rsid w:val="009A4233"/>
    <w:rsid w:val="009A50FC"/>
    <w:rsid w:val="009A65CF"/>
    <w:rsid w:val="009B237C"/>
    <w:rsid w:val="009B4B42"/>
    <w:rsid w:val="009C751E"/>
    <w:rsid w:val="009D0035"/>
    <w:rsid w:val="009F3A39"/>
    <w:rsid w:val="009F6718"/>
    <w:rsid w:val="00A108EE"/>
    <w:rsid w:val="00A1401D"/>
    <w:rsid w:val="00A22547"/>
    <w:rsid w:val="00A23BA0"/>
    <w:rsid w:val="00A3079C"/>
    <w:rsid w:val="00A3568A"/>
    <w:rsid w:val="00A417BC"/>
    <w:rsid w:val="00A500D0"/>
    <w:rsid w:val="00A62CBE"/>
    <w:rsid w:val="00A77A8A"/>
    <w:rsid w:val="00A856DF"/>
    <w:rsid w:val="00A9032A"/>
    <w:rsid w:val="00A9257F"/>
    <w:rsid w:val="00A9799A"/>
    <w:rsid w:val="00AA2C38"/>
    <w:rsid w:val="00AB1C80"/>
    <w:rsid w:val="00AC066D"/>
    <w:rsid w:val="00AC42DE"/>
    <w:rsid w:val="00AE2572"/>
    <w:rsid w:val="00B05A9B"/>
    <w:rsid w:val="00B12ACB"/>
    <w:rsid w:val="00B158EC"/>
    <w:rsid w:val="00B34346"/>
    <w:rsid w:val="00B35AC3"/>
    <w:rsid w:val="00B46D0E"/>
    <w:rsid w:val="00B62495"/>
    <w:rsid w:val="00B63BE3"/>
    <w:rsid w:val="00B775D9"/>
    <w:rsid w:val="00B77B52"/>
    <w:rsid w:val="00B800A3"/>
    <w:rsid w:val="00B8111F"/>
    <w:rsid w:val="00B813DA"/>
    <w:rsid w:val="00B841AC"/>
    <w:rsid w:val="00B90718"/>
    <w:rsid w:val="00B925F2"/>
    <w:rsid w:val="00BA1D4B"/>
    <w:rsid w:val="00BC157E"/>
    <w:rsid w:val="00BC259B"/>
    <w:rsid w:val="00BC68A9"/>
    <w:rsid w:val="00BD2DCD"/>
    <w:rsid w:val="00BD43D6"/>
    <w:rsid w:val="00BE078D"/>
    <w:rsid w:val="00BE7C9E"/>
    <w:rsid w:val="00BF13F5"/>
    <w:rsid w:val="00BF51FE"/>
    <w:rsid w:val="00C01329"/>
    <w:rsid w:val="00C05413"/>
    <w:rsid w:val="00C06B19"/>
    <w:rsid w:val="00C07136"/>
    <w:rsid w:val="00C378B7"/>
    <w:rsid w:val="00C639A2"/>
    <w:rsid w:val="00C703E3"/>
    <w:rsid w:val="00C80938"/>
    <w:rsid w:val="00C83512"/>
    <w:rsid w:val="00C83EDA"/>
    <w:rsid w:val="00C91692"/>
    <w:rsid w:val="00C92416"/>
    <w:rsid w:val="00C9318F"/>
    <w:rsid w:val="00CA2DDC"/>
    <w:rsid w:val="00CB6783"/>
    <w:rsid w:val="00CB760D"/>
    <w:rsid w:val="00CB769F"/>
    <w:rsid w:val="00CB7FC5"/>
    <w:rsid w:val="00CC2D53"/>
    <w:rsid w:val="00CC546C"/>
    <w:rsid w:val="00CD24ED"/>
    <w:rsid w:val="00CE6161"/>
    <w:rsid w:val="00CE72DA"/>
    <w:rsid w:val="00CF0038"/>
    <w:rsid w:val="00CF21E4"/>
    <w:rsid w:val="00D00475"/>
    <w:rsid w:val="00D25A9C"/>
    <w:rsid w:val="00D42B3B"/>
    <w:rsid w:val="00D449BA"/>
    <w:rsid w:val="00D707D5"/>
    <w:rsid w:val="00D908C6"/>
    <w:rsid w:val="00D95643"/>
    <w:rsid w:val="00DA5D46"/>
    <w:rsid w:val="00DB4061"/>
    <w:rsid w:val="00DB4D1C"/>
    <w:rsid w:val="00DC1A1E"/>
    <w:rsid w:val="00DC5346"/>
    <w:rsid w:val="00DD7C9C"/>
    <w:rsid w:val="00DF2253"/>
    <w:rsid w:val="00E170CB"/>
    <w:rsid w:val="00E21419"/>
    <w:rsid w:val="00E22D6F"/>
    <w:rsid w:val="00E31104"/>
    <w:rsid w:val="00E36734"/>
    <w:rsid w:val="00E4146C"/>
    <w:rsid w:val="00E445BB"/>
    <w:rsid w:val="00E47175"/>
    <w:rsid w:val="00E55E93"/>
    <w:rsid w:val="00E567EA"/>
    <w:rsid w:val="00E61F2C"/>
    <w:rsid w:val="00EA5454"/>
    <w:rsid w:val="00EA66B6"/>
    <w:rsid w:val="00EB026B"/>
    <w:rsid w:val="00ED02ED"/>
    <w:rsid w:val="00ED2A9D"/>
    <w:rsid w:val="00ED4604"/>
    <w:rsid w:val="00EE2B7E"/>
    <w:rsid w:val="00EE4A42"/>
    <w:rsid w:val="00EF5A45"/>
    <w:rsid w:val="00F113F1"/>
    <w:rsid w:val="00F11BAF"/>
    <w:rsid w:val="00F27C0E"/>
    <w:rsid w:val="00F37328"/>
    <w:rsid w:val="00F45994"/>
    <w:rsid w:val="00F65969"/>
    <w:rsid w:val="00F733E9"/>
    <w:rsid w:val="00F76EE1"/>
    <w:rsid w:val="00F82CFE"/>
    <w:rsid w:val="00F87B2B"/>
    <w:rsid w:val="00F9223A"/>
    <w:rsid w:val="00FA0C0E"/>
    <w:rsid w:val="00FA1CB8"/>
    <w:rsid w:val="00FA6F05"/>
    <w:rsid w:val="00FB0EAF"/>
    <w:rsid w:val="00FB66EB"/>
    <w:rsid w:val="00FD35B6"/>
    <w:rsid w:val="00FD445D"/>
    <w:rsid w:val="00FD6265"/>
    <w:rsid w:val="00FE0680"/>
    <w:rsid w:val="00FE6286"/>
    <w:rsid w:val="00FF74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DEDB"/>
  <w15:docId w15:val="{CE97D238-6412-4CBE-82C7-F9F1D0EA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7F"/>
  </w:style>
  <w:style w:type="paragraph" w:styleId="1">
    <w:name w:val="heading 1"/>
    <w:basedOn w:val="a"/>
    <w:next w:val="a"/>
    <w:link w:val="1Char"/>
    <w:uiPriority w:val="9"/>
    <w:qFormat/>
    <w:rsid w:val="00DA5D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DA5D46"/>
    <w:pPr>
      <w:keepNext/>
      <w:keepLines/>
      <w:spacing w:before="200" w:after="0" w:line="360" w:lineRule="auto"/>
      <w:jc w:val="both"/>
      <w:outlineLvl w:val="1"/>
    </w:pPr>
    <w:rPr>
      <w:rFonts w:ascii="Cambria" w:eastAsia="Times New Roman" w:hAnsi="Cambria" w:cs="Times New Roman"/>
      <w:b/>
      <w:bCs/>
      <w:i/>
      <w:iCs/>
      <w:sz w:val="28"/>
      <w:szCs w:val="28"/>
      <w:lang w:val="en-GB"/>
    </w:rPr>
  </w:style>
  <w:style w:type="paragraph" w:styleId="3">
    <w:name w:val="heading 3"/>
    <w:basedOn w:val="a"/>
    <w:next w:val="a"/>
    <w:link w:val="3Char"/>
    <w:uiPriority w:val="9"/>
    <w:semiHidden/>
    <w:unhideWhenUsed/>
    <w:qFormat/>
    <w:rsid w:val="00DA5D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5D46"/>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rsid w:val="00DA5D46"/>
    <w:rPr>
      <w:rFonts w:ascii="Cambria" w:eastAsia="Times New Roman" w:hAnsi="Cambria" w:cs="Times New Roman"/>
      <w:b/>
      <w:bCs/>
      <w:i/>
      <w:iCs/>
      <w:sz w:val="28"/>
      <w:szCs w:val="28"/>
      <w:lang w:val="en-GB"/>
    </w:rPr>
  </w:style>
  <w:style w:type="character" w:customStyle="1" w:styleId="3Char">
    <w:name w:val="Επικεφαλίδα 3 Char"/>
    <w:basedOn w:val="a0"/>
    <w:link w:val="3"/>
    <w:uiPriority w:val="9"/>
    <w:semiHidden/>
    <w:rsid w:val="00DA5D46"/>
    <w:rPr>
      <w:rFonts w:asciiTheme="majorHAnsi" w:eastAsiaTheme="majorEastAsia" w:hAnsiTheme="majorHAnsi" w:cstheme="majorBidi"/>
      <w:b/>
      <w:bCs/>
      <w:color w:val="4F81BD" w:themeColor="accent1"/>
    </w:rPr>
  </w:style>
  <w:style w:type="paragraph" w:styleId="10">
    <w:name w:val="toc 1"/>
    <w:basedOn w:val="a"/>
    <w:next w:val="a"/>
    <w:autoRedefine/>
    <w:uiPriority w:val="39"/>
    <w:unhideWhenUsed/>
    <w:qFormat/>
    <w:rsid w:val="00DA5D46"/>
    <w:pPr>
      <w:spacing w:before="120" w:after="120"/>
    </w:pPr>
    <w:rPr>
      <w:b/>
      <w:bCs/>
      <w:caps/>
      <w:sz w:val="20"/>
      <w:szCs w:val="20"/>
    </w:rPr>
  </w:style>
  <w:style w:type="paragraph" w:styleId="20">
    <w:name w:val="toc 2"/>
    <w:basedOn w:val="a"/>
    <w:next w:val="a"/>
    <w:autoRedefine/>
    <w:uiPriority w:val="39"/>
    <w:unhideWhenUsed/>
    <w:qFormat/>
    <w:rsid w:val="00DA5D46"/>
    <w:pPr>
      <w:spacing w:after="0"/>
      <w:ind w:left="220"/>
    </w:pPr>
    <w:rPr>
      <w:smallCaps/>
      <w:sz w:val="20"/>
      <w:szCs w:val="20"/>
    </w:rPr>
  </w:style>
  <w:style w:type="paragraph" w:styleId="30">
    <w:name w:val="toc 3"/>
    <w:basedOn w:val="a"/>
    <w:next w:val="a"/>
    <w:autoRedefine/>
    <w:uiPriority w:val="39"/>
    <w:unhideWhenUsed/>
    <w:qFormat/>
    <w:rsid w:val="00DA5D46"/>
    <w:pPr>
      <w:spacing w:after="0"/>
      <w:ind w:left="440"/>
    </w:pPr>
    <w:rPr>
      <w:i/>
      <w:iCs/>
      <w:sz w:val="20"/>
      <w:szCs w:val="20"/>
    </w:rPr>
  </w:style>
  <w:style w:type="paragraph" w:styleId="a3">
    <w:name w:val="caption"/>
    <w:basedOn w:val="a"/>
    <w:next w:val="a"/>
    <w:uiPriority w:val="35"/>
    <w:unhideWhenUsed/>
    <w:qFormat/>
    <w:rsid w:val="00DA5D46"/>
    <w:pPr>
      <w:spacing w:line="240" w:lineRule="auto"/>
    </w:pPr>
    <w:rPr>
      <w:rFonts w:eastAsiaTheme="minorEastAsia"/>
      <w:b/>
      <w:bCs/>
      <w:color w:val="4F81BD" w:themeColor="accent1"/>
      <w:sz w:val="18"/>
      <w:szCs w:val="18"/>
      <w:lang w:eastAsia="el-GR"/>
    </w:rPr>
  </w:style>
  <w:style w:type="paragraph" w:styleId="a4">
    <w:name w:val="No Spacing"/>
    <w:uiPriority w:val="1"/>
    <w:qFormat/>
    <w:rsid w:val="00DA5D46"/>
    <w:pPr>
      <w:spacing w:after="0" w:line="240" w:lineRule="auto"/>
    </w:pPr>
  </w:style>
  <w:style w:type="paragraph" w:styleId="a5">
    <w:name w:val="List Paragraph"/>
    <w:basedOn w:val="a"/>
    <w:uiPriority w:val="99"/>
    <w:qFormat/>
    <w:rsid w:val="00DA5D46"/>
    <w:pPr>
      <w:ind w:left="720"/>
      <w:contextualSpacing/>
    </w:pPr>
  </w:style>
  <w:style w:type="paragraph" w:styleId="a6">
    <w:name w:val="TOC Heading"/>
    <w:basedOn w:val="1"/>
    <w:next w:val="a"/>
    <w:uiPriority w:val="39"/>
    <w:semiHidden/>
    <w:unhideWhenUsed/>
    <w:qFormat/>
    <w:rsid w:val="00DA5D46"/>
    <w:pPr>
      <w:outlineLvl w:val="9"/>
    </w:pPr>
    <w:rPr>
      <w:lang w:eastAsia="el-GR"/>
    </w:rPr>
  </w:style>
  <w:style w:type="paragraph" w:styleId="a7">
    <w:name w:val="header"/>
    <w:basedOn w:val="a"/>
    <w:link w:val="Char"/>
    <w:uiPriority w:val="99"/>
    <w:unhideWhenUsed/>
    <w:rsid w:val="00A9257F"/>
    <w:pPr>
      <w:tabs>
        <w:tab w:val="center" w:pos="4153"/>
        <w:tab w:val="right" w:pos="8306"/>
      </w:tabs>
      <w:spacing w:after="0" w:line="240" w:lineRule="auto"/>
    </w:pPr>
  </w:style>
  <w:style w:type="character" w:customStyle="1" w:styleId="Char">
    <w:name w:val="Κεφαλίδα Char"/>
    <w:basedOn w:val="a0"/>
    <w:link w:val="a7"/>
    <w:uiPriority w:val="99"/>
    <w:rsid w:val="00A9257F"/>
  </w:style>
  <w:style w:type="paragraph" w:styleId="a8">
    <w:name w:val="footer"/>
    <w:basedOn w:val="a"/>
    <w:link w:val="Char0"/>
    <w:uiPriority w:val="99"/>
    <w:unhideWhenUsed/>
    <w:rsid w:val="00A9257F"/>
    <w:pPr>
      <w:tabs>
        <w:tab w:val="center" w:pos="4153"/>
        <w:tab w:val="right" w:pos="8306"/>
      </w:tabs>
      <w:spacing w:after="0" w:line="240" w:lineRule="auto"/>
    </w:pPr>
  </w:style>
  <w:style w:type="character" w:customStyle="1" w:styleId="Char0">
    <w:name w:val="Υποσέλιδο Char"/>
    <w:basedOn w:val="a0"/>
    <w:link w:val="a8"/>
    <w:uiPriority w:val="99"/>
    <w:rsid w:val="00A9257F"/>
  </w:style>
  <w:style w:type="table" w:styleId="a9">
    <w:name w:val="Table Grid"/>
    <w:basedOn w:val="a1"/>
    <w:uiPriority w:val="99"/>
    <w:rsid w:val="00A9257F"/>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A9257F"/>
    <w:pPr>
      <w:spacing w:after="0" w:line="240" w:lineRule="auto"/>
    </w:pPr>
    <w:rPr>
      <w:rFonts w:ascii="Tahoma" w:hAnsi="Tahoma" w:cs="Tahoma"/>
      <w:sz w:val="16"/>
      <w:szCs w:val="16"/>
    </w:rPr>
  </w:style>
  <w:style w:type="character" w:customStyle="1" w:styleId="Char1">
    <w:name w:val="Κείμενο πλαισίου Char"/>
    <w:basedOn w:val="a0"/>
    <w:link w:val="aa"/>
    <w:uiPriority w:val="99"/>
    <w:semiHidden/>
    <w:rsid w:val="00A9257F"/>
    <w:rPr>
      <w:rFonts w:ascii="Tahoma" w:hAnsi="Tahoma" w:cs="Tahoma"/>
      <w:sz w:val="16"/>
      <w:szCs w:val="16"/>
    </w:rPr>
  </w:style>
  <w:style w:type="paragraph" w:styleId="Web">
    <w:name w:val="Normal (Web)"/>
    <w:basedOn w:val="a"/>
    <w:uiPriority w:val="99"/>
    <w:unhideWhenUsed/>
    <w:rsid w:val="002308D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b">
    <w:name w:val="endnote text"/>
    <w:basedOn w:val="a"/>
    <w:link w:val="Char2"/>
    <w:uiPriority w:val="99"/>
    <w:semiHidden/>
    <w:unhideWhenUsed/>
    <w:rsid w:val="00525F15"/>
    <w:pPr>
      <w:spacing w:after="0" w:line="240" w:lineRule="auto"/>
    </w:pPr>
    <w:rPr>
      <w:sz w:val="20"/>
      <w:szCs w:val="20"/>
    </w:rPr>
  </w:style>
  <w:style w:type="character" w:customStyle="1" w:styleId="Char2">
    <w:name w:val="Κείμενο σημείωσης τέλους Char"/>
    <w:basedOn w:val="a0"/>
    <w:link w:val="ab"/>
    <w:uiPriority w:val="99"/>
    <w:semiHidden/>
    <w:rsid w:val="00525F15"/>
    <w:rPr>
      <w:sz w:val="20"/>
      <w:szCs w:val="20"/>
    </w:rPr>
  </w:style>
  <w:style w:type="character" w:styleId="ac">
    <w:name w:val="endnote reference"/>
    <w:basedOn w:val="a0"/>
    <w:uiPriority w:val="99"/>
    <w:semiHidden/>
    <w:unhideWhenUsed/>
    <w:rsid w:val="00525F15"/>
    <w:rPr>
      <w:vertAlign w:val="superscript"/>
    </w:rPr>
  </w:style>
  <w:style w:type="paragraph" w:styleId="ad">
    <w:name w:val="footnote text"/>
    <w:basedOn w:val="a"/>
    <w:link w:val="Char3"/>
    <w:uiPriority w:val="99"/>
    <w:semiHidden/>
    <w:unhideWhenUsed/>
    <w:rsid w:val="000A0DC2"/>
    <w:pPr>
      <w:spacing w:after="0" w:line="240" w:lineRule="auto"/>
    </w:pPr>
    <w:rPr>
      <w:sz w:val="20"/>
      <w:szCs w:val="20"/>
    </w:rPr>
  </w:style>
  <w:style w:type="character" w:customStyle="1" w:styleId="Char3">
    <w:name w:val="Κείμενο υποσημείωσης Char"/>
    <w:basedOn w:val="a0"/>
    <w:link w:val="ad"/>
    <w:uiPriority w:val="99"/>
    <w:semiHidden/>
    <w:rsid w:val="000A0DC2"/>
    <w:rPr>
      <w:sz w:val="20"/>
      <w:szCs w:val="20"/>
    </w:rPr>
  </w:style>
  <w:style w:type="character" w:styleId="ae">
    <w:name w:val="footnote reference"/>
    <w:basedOn w:val="a0"/>
    <w:uiPriority w:val="99"/>
    <w:semiHidden/>
    <w:unhideWhenUsed/>
    <w:rsid w:val="000A0D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7352">
      <w:bodyDiv w:val="1"/>
      <w:marLeft w:val="0"/>
      <w:marRight w:val="0"/>
      <w:marTop w:val="0"/>
      <w:marBottom w:val="0"/>
      <w:divBdr>
        <w:top w:val="none" w:sz="0" w:space="0" w:color="auto"/>
        <w:left w:val="none" w:sz="0" w:space="0" w:color="auto"/>
        <w:bottom w:val="none" w:sz="0" w:space="0" w:color="auto"/>
        <w:right w:val="none" w:sz="0" w:space="0" w:color="auto"/>
      </w:divBdr>
    </w:div>
    <w:div w:id="830023983">
      <w:bodyDiv w:val="1"/>
      <w:marLeft w:val="0"/>
      <w:marRight w:val="0"/>
      <w:marTop w:val="0"/>
      <w:marBottom w:val="0"/>
      <w:divBdr>
        <w:top w:val="none" w:sz="0" w:space="0" w:color="auto"/>
        <w:left w:val="none" w:sz="0" w:space="0" w:color="auto"/>
        <w:bottom w:val="none" w:sz="0" w:space="0" w:color="auto"/>
        <w:right w:val="none" w:sz="0" w:space="0" w:color="auto"/>
      </w:divBdr>
    </w:div>
    <w:div w:id="1015880310">
      <w:bodyDiv w:val="1"/>
      <w:marLeft w:val="0"/>
      <w:marRight w:val="0"/>
      <w:marTop w:val="0"/>
      <w:marBottom w:val="0"/>
      <w:divBdr>
        <w:top w:val="none" w:sz="0" w:space="0" w:color="auto"/>
        <w:left w:val="none" w:sz="0" w:space="0" w:color="auto"/>
        <w:bottom w:val="none" w:sz="0" w:space="0" w:color="auto"/>
        <w:right w:val="none" w:sz="0" w:space="0" w:color="auto"/>
      </w:divBdr>
    </w:div>
    <w:div w:id="1068458188">
      <w:bodyDiv w:val="1"/>
      <w:marLeft w:val="0"/>
      <w:marRight w:val="0"/>
      <w:marTop w:val="0"/>
      <w:marBottom w:val="0"/>
      <w:divBdr>
        <w:top w:val="none" w:sz="0" w:space="0" w:color="auto"/>
        <w:left w:val="none" w:sz="0" w:space="0" w:color="auto"/>
        <w:bottom w:val="none" w:sz="0" w:space="0" w:color="auto"/>
        <w:right w:val="none" w:sz="0" w:space="0" w:color="auto"/>
      </w:divBdr>
    </w:div>
    <w:div w:id="1276520133">
      <w:bodyDiv w:val="1"/>
      <w:marLeft w:val="0"/>
      <w:marRight w:val="0"/>
      <w:marTop w:val="0"/>
      <w:marBottom w:val="0"/>
      <w:divBdr>
        <w:top w:val="none" w:sz="0" w:space="0" w:color="auto"/>
        <w:left w:val="none" w:sz="0" w:space="0" w:color="auto"/>
        <w:bottom w:val="none" w:sz="0" w:space="0" w:color="auto"/>
        <w:right w:val="none" w:sz="0" w:space="0" w:color="auto"/>
      </w:divBdr>
    </w:div>
    <w:div w:id="1384673205">
      <w:bodyDiv w:val="1"/>
      <w:marLeft w:val="0"/>
      <w:marRight w:val="0"/>
      <w:marTop w:val="0"/>
      <w:marBottom w:val="0"/>
      <w:divBdr>
        <w:top w:val="none" w:sz="0" w:space="0" w:color="auto"/>
        <w:left w:val="none" w:sz="0" w:space="0" w:color="auto"/>
        <w:bottom w:val="none" w:sz="0" w:space="0" w:color="auto"/>
        <w:right w:val="none" w:sz="0" w:space="0" w:color="auto"/>
      </w:divBdr>
    </w:div>
    <w:div w:id="1505626912">
      <w:bodyDiv w:val="1"/>
      <w:marLeft w:val="0"/>
      <w:marRight w:val="0"/>
      <w:marTop w:val="0"/>
      <w:marBottom w:val="0"/>
      <w:divBdr>
        <w:top w:val="none" w:sz="0" w:space="0" w:color="auto"/>
        <w:left w:val="none" w:sz="0" w:space="0" w:color="auto"/>
        <w:bottom w:val="none" w:sz="0" w:space="0" w:color="auto"/>
        <w:right w:val="none" w:sz="0" w:space="0" w:color="auto"/>
      </w:divBdr>
    </w:div>
    <w:div w:id="1628586577">
      <w:bodyDiv w:val="1"/>
      <w:marLeft w:val="0"/>
      <w:marRight w:val="0"/>
      <w:marTop w:val="0"/>
      <w:marBottom w:val="0"/>
      <w:divBdr>
        <w:top w:val="none" w:sz="0" w:space="0" w:color="auto"/>
        <w:left w:val="none" w:sz="0" w:space="0" w:color="auto"/>
        <w:bottom w:val="none" w:sz="0" w:space="0" w:color="auto"/>
        <w:right w:val="none" w:sz="0" w:space="0" w:color="auto"/>
      </w:divBdr>
    </w:div>
    <w:div w:id="1728869079">
      <w:bodyDiv w:val="1"/>
      <w:marLeft w:val="0"/>
      <w:marRight w:val="0"/>
      <w:marTop w:val="0"/>
      <w:marBottom w:val="0"/>
      <w:divBdr>
        <w:top w:val="none" w:sz="0" w:space="0" w:color="auto"/>
        <w:left w:val="none" w:sz="0" w:space="0" w:color="auto"/>
        <w:bottom w:val="none" w:sz="0" w:space="0" w:color="auto"/>
        <w:right w:val="none" w:sz="0" w:space="0" w:color="auto"/>
      </w:divBdr>
    </w:div>
    <w:div w:id="1801335510">
      <w:bodyDiv w:val="1"/>
      <w:marLeft w:val="0"/>
      <w:marRight w:val="0"/>
      <w:marTop w:val="0"/>
      <w:marBottom w:val="0"/>
      <w:divBdr>
        <w:top w:val="none" w:sz="0" w:space="0" w:color="auto"/>
        <w:left w:val="none" w:sz="0" w:space="0" w:color="auto"/>
        <w:bottom w:val="none" w:sz="0" w:space="0" w:color="auto"/>
        <w:right w:val="none" w:sz="0" w:space="0" w:color="auto"/>
      </w:divBdr>
    </w:div>
    <w:div w:id="1808010289">
      <w:bodyDiv w:val="1"/>
      <w:marLeft w:val="0"/>
      <w:marRight w:val="0"/>
      <w:marTop w:val="0"/>
      <w:marBottom w:val="0"/>
      <w:divBdr>
        <w:top w:val="none" w:sz="0" w:space="0" w:color="auto"/>
        <w:left w:val="none" w:sz="0" w:space="0" w:color="auto"/>
        <w:bottom w:val="none" w:sz="0" w:space="0" w:color="auto"/>
        <w:right w:val="none" w:sz="0" w:space="0" w:color="auto"/>
      </w:divBdr>
    </w:div>
    <w:div w:id="1837762050">
      <w:bodyDiv w:val="1"/>
      <w:marLeft w:val="0"/>
      <w:marRight w:val="0"/>
      <w:marTop w:val="0"/>
      <w:marBottom w:val="0"/>
      <w:divBdr>
        <w:top w:val="none" w:sz="0" w:space="0" w:color="auto"/>
        <w:left w:val="none" w:sz="0" w:space="0" w:color="auto"/>
        <w:bottom w:val="none" w:sz="0" w:space="0" w:color="auto"/>
        <w:right w:val="none" w:sz="0" w:space="0" w:color="auto"/>
      </w:divBdr>
    </w:div>
    <w:div w:id="1968781758">
      <w:bodyDiv w:val="1"/>
      <w:marLeft w:val="0"/>
      <w:marRight w:val="0"/>
      <w:marTop w:val="0"/>
      <w:marBottom w:val="0"/>
      <w:divBdr>
        <w:top w:val="none" w:sz="0" w:space="0" w:color="auto"/>
        <w:left w:val="none" w:sz="0" w:space="0" w:color="auto"/>
        <w:bottom w:val="none" w:sz="0" w:space="0" w:color="auto"/>
        <w:right w:val="none" w:sz="0" w:space="0" w:color="auto"/>
      </w:divBdr>
    </w:div>
    <w:div w:id="199413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______________Microsoft_Excel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______________Microsoft_Excel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______________Microsoft_Excel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______________Microsoft_Excel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______________Microsoft_Excel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______________Microsoft_Excel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______________Microsoft_Excel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______________Microsoft_Excel16.xlsx"/></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______________Microsoft_Excel17.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______________Microsoft_Excel18.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__________Microsoft_Excel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______________Microsoft_Excel19.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______________Microsoft_Excel20.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______________Microsoft_Excel21.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______________Microsoft_Excel22.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______________Microsoft_Excel23.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______________Microsoft_Excel24.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_____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_____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_________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______________Microsoft_Excel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______________Microsoft_Excel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______________Microsoft_Excel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______________Microsoft_Excel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l-GR"/>
              <a:t>Γραφημα</a:t>
            </a:r>
            <a:r>
              <a:rPr lang="el-GR" baseline="0"/>
              <a:t> 1</a:t>
            </a:r>
            <a:endParaRPr lang="el-GR"/>
          </a:p>
          <a:p>
            <a:pPr>
              <a:defRPr sz="1600" b="1" i="0" u="none" strike="noStrike" kern="1200" cap="all" spc="120" normalizeH="0" baseline="0">
                <a:solidFill>
                  <a:schemeClr val="tx1">
                    <a:lumMod val="65000"/>
                    <a:lumOff val="35000"/>
                  </a:schemeClr>
                </a:solidFill>
                <a:latin typeface="+mn-lt"/>
                <a:ea typeface="+mn-ea"/>
                <a:cs typeface="+mn-cs"/>
              </a:defRPr>
            </a:pPr>
            <a:r>
              <a:rPr lang="el-GR"/>
              <a:t>ΔΕΙΚΤΗΣ ΟΙΚΟΝΟΜΙΚΟΥ ΚΛΙΜΑΤΟΣ</a:t>
            </a:r>
            <a:r>
              <a:rPr lang="el-GR" baseline="0"/>
              <a:t> ΜΜΕ</a:t>
            </a:r>
            <a:endParaRPr lang="el-GR"/>
          </a:p>
        </c:rich>
      </c:tx>
      <c:overlay val="0"/>
      <c:spPr>
        <a:noFill/>
        <a:ln>
          <a:noFill/>
        </a:ln>
        <a:effectLst/>
      </c:spPr>
    </c:title>
    <c:autoTitleDeleted val="0"/>
    <c:plotArea>
      <c:layout/>
      <c:lineChart>
        <c:grouping val="standard"/>
        <c:varyColors val="0"/>
        <c:ser>
          <c:idx val="0"/>
          <c:order val="0"/>
          <c:tx>
            <c:strRef>
              <c:f>'ΚΑΤΑΣΤΑΣΗ ΕΠΙΧΕΙΡΗΣΗΣ ΜΕΘ.Ε '!$A$4</c:f>
              <c:strCache>
                <c:ptCount val="1"/>
                <c:pt idx="0">
                  <c:v>ΜΕΣΟΣ ΟΡΟΣ ΕΕ</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'ΚΑΤΑΣΤΑΣΗ ΕΠΙΧΕΙΡΗΣΗΣ ΜΕΘ.Ε '!$B$3:$U$3</c:f>
              <c:strCache>
                <c:ptCount val="20"/>
                <c:pt idx="0">
                  <c:v>2011Α</c:v>
                </c:pt>
                <c:pt idx="1">
                  <c:v>2011Β</c:v>
                </c:pt>
                <c:pt idx="2">
                  <c:v>2012Α</c:v>
                </c:pt>
                <c:pt idx="3">
                  <c:v>2012Β</c:v>
                </c:pt>
                <c:pt idx="4">
                  <c:v>2013Α</c:v>
                </c:pt>
                <c:pt idx="5">
                  <c:v>2013Β</c:v>
                </c:pt>
                <c:pt idx="6">
                  <c:v>2014Α</c:v>
                </c:pt>
                <c:pt idx="7">
                  <c:v>2014Β</c:v>
                </c:pt>
                <c:pt idx="8">
                  <c:v>2015Α</c:v>
                </c:pt>
                <c:pt idx="9">
                  <c:v>2015Β</c:v>
                </c:pt>
                <c:pt idx="10">
                  <c:v>2016Α</c:v>
                </c:pt>
                <c:pt idx="11">
                  <c:v>2016Β</c:v>
                </c:pt>
                <c:pt idx="12">
                  <c:v>2017Α</c:v>
                </c:pt>
                <c:pt idx="13">
                  <c:v>2017Β</c:v>
                </c:pt>
                <c:pt idx="14">
                  <c:v>2018Α</c:v>
                </c:pt>
                <c:pt idx="15">
                  <c:v>2018Β</c:v>
                </c:pt>
                <c:pt idx="16">
                  <c:v>2019A</c:v>
                </c:pt>
                <c:pt idx="17">
                  <c:v>2019Β</c:v>
                </c:pt>
                <c:pt idx="18">
                  <c:v>2020Α</c:v>
                </c:pt>
                <c:pt idx="19">
                  <c:v>2020Β</c:v>
                </c:pt>
              </c:strCache>
            </c:strRef>
          </c:cat>
          <c:val>
            <c:numRef>
              <c:f>'ΚΑΤΑΣΤΑΣΗ ΕΠΙΧΕΙΡΗΣΗΣ ΜΕΘ.Ε '!$B$4:$U$4</c:f>
              <c:numCache>
                <c:formatCode>0.0</c:formatCode>
                <c:ptCount val="20"/>
                <c:pt idx="0">
                  <c:v>70.8</c:v>
                </c:pt>
                <c:pt idx="1">
                  <c:v>70.5</c:v>
                </c:pt>
                <c:pt idx="2">
                  <c:v>67.5</c:v>
                </c:pt>
                <c:pt idx="3">
                  <c:v>65.3</c:v>
                </c:pt>
                <c:pt idx="4">
                  <c:v>66.099999999999994</c:v>
                </c:pt>
                <c:pt idx="5">
                  <c:v>67.900000000000006</c:v>
                </c:pt>
                <c:pt idx="6">
                  <c:v>71.7</c:v>
                </c:pt>
                <c:pt idx="7">
                  <c:v>72.3</c:v>
                </c:pt>
                <c:pt idx="8">
                  <c:v>74.900000000000006</c:v>
                </c:pt>
                <c:pt idx="9">
                  <c:v>75.599999999999994</c:v>
                </c:pt>
                <c:pt idx="10">
                  <c:v>75.5</c:v>
                </c:pt>
                <c:pt idx="11">
                  <c:v>75.8</c:v>
                </c:pt>
                <c:pt idx="12">
                  <c:v>80.2</c:v>
                </c:pt>
                <c:pt idx="13">
                  <c:v>81.599999999999994</c:v>
                </c:pt>
                <c:pt idx="14">
                  <c:v>81.7</c:v>
                </c:pt>
                <c:pt idx="15">
                  <c:v>76.599999999999994</c:v>
                </c:pt>
                <c:pt idx="16">
                  <c:v>77.099999999999994</c:v>
                </c:pt>
                <c:pt idx="17">
                  <c:v>73.400000000000006</c:v>
                </c:pt>
                <c:pt idx="18">
                  <c:v>54.6</c:v>
                </c:pt>
                <c:pt idx="19">
                  <c:v>59.8</c:v>
                </c:pt>
              </c:numCache>
            </c:numRef>
          </c:val>
          <c:smooth val="0"/>
          <c:extLst>
            <c:ext xmlns:c16="http://schemas.microsoft.com/office/drawing/2014/chart" uri="{C3380CC4-5D6E-409C-BE32-E72D297353CC}">
              <c16:uniqueId val="{00000000-9CEF-4E0D-B21D-3DCE453E1054}"/>
            </c:ext>
          </c:extLst>
        </c:ser>
        <c:ser>
          <c:idx val="1"/>
          <c:order val="1"/>
          <c:tx>
            <c:strRef>
              <c:f>'ΚΑΤΑΣΤΑΣΗ ΕΠΙΧΕΙΡΗΣΗΣ ΜΕΘ.Ε '!$A$5</c:f>
              <c:strCache>
                <c:ptCount val="1"/>
                <c:pt idx="0">
                  <c:v>ΕΛΛΑΔΑ</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'ΚΑΤΑΣΤΑΣΗ ΕΠΙΧΕΙΡΗΣΗΣ ΜΕΘ.Ε '!$B$3:$U$3</c:f>
              <c:strCache>
                <c:ptCount val="20"/>
                <c:pt idx="0">
                  <c:v>2011Α</c:v>
                </c:pt>
                <c:pt idx="1">
                  <c:v>2011Β</c:v>
                </c:pt>
                <c:pt idx="2">
                  <c:v>2012Α</c:v>
                </c:pt>
                <c:pt idx="3">
                  <c:v>2012Β</c:v>
                </c:pt>
                <c:pt idx="4">
                  <c:v>2013Α</c:v>
                </c:pt>
                <c:pt idx="5">
                  <c:v>2013Β</c:v>
                </c:pt>
                <c:pt idx="6">
                  <c:v>2014Α</c:v>
                </c:pt>
                <c:pt idx="7">
                  <c:v>2014Β</c:v>
                </c:pt>
                <c:pt idx="8">
                  <c:v>2015Α</c:v>
                </c:pt>
                <c:pt idx="9">
                  <c:v>2015Β</c:v>
                </c:pt>
                <c:pt idx="10">
                  <c:v>2016Α</c:v>
                </c:pt>
                <c:pt idx="11">
                  <c:v>2016Β</c:v>
                </c:pt>
                <c:pt idx="12">
                  <c:v>2017Α</c:v>
                </c:pt>
                <c:pt idx="13">
                  <c:v>2017Β</c:v>
                </c:pt>
                <c:pt idx="14">
                  <c:v>2018Α</c:v>
                </c:pt>
                <c:pt idx="15">
                  <c:v>2018Β</c:v>
                </c:pt>
                <c:pt idx="16">
                  <c:v>2019A</c:v>
                </c:pt>
                <c:pt idx="17">
                  <c:v>2019Β</c:v>
                </c:pt>
                <c:pt idx="18">
                  <c:v>2020Α</c:v>
                </c:pt>
                <c:pt idx="19">
                  <c:v>2020Β</c:v>
                </c:pt>
              </c:strCache>
            </c:strRef>
          </c:cat>
          <c:val>
            <c:numRef>
              <c:f>'ΚΑΤΑΣΤΑΣΗ ΕΠΙΧΕΙΡΗΣΗΣ ΜΕΘ.Ε '!$B$5:$U$5</c:f>
              <c:numCache>
                <c:formatCode>0.0</c:formatCode>
                <c:ptCount val="20"/>
                <c:pt idx="0">
                  <c:v>18.455366098294874</c:v>
                </c:pt>
                <c:pt idx="1">
                  <c:v>12.612612612612622</c:v>
                </c:pt>
                <c:pt idx="2">
                  <c:v>11.723446893787553</c:v>
                </c:pt>
                <c:pt idx="3">
                  <c:v>17.917917917917919</c:v>
                </c:pt>
                <c:pt idx="4">
                  <c:v>24.599999999999994</c:v>
                </c:pt>
                <c:pt idx="5">
                  <c:v>29.700000000000003</c:v>
                </c:pt>
                <c:pt idx="6">
                  <c:v>35.170340681362731</c:v>
                </c:pt>
                <c:pt idx="7">
                  <c:v>41.341341341341348</c:v>
                </c:pt>
                <c:pt idx="8">
                  <c:v>15.700000000000003</c:v>
                </c:pt>
                <c:pt idx="9">
                  <c:v>24.924924924924923</c:v>
                </c:pt>
                <c:pt idx="10">
                  <c:v>30.799999999999997</c:v>
                </c:pt>
                <c:pt idx="11">
                  <c:v>30.992978936810417</c:v>
                </c:pt>
                <c:pt idx="12">
                  <c:v>41.482965931863724</c:v>
                </c:pt>
                <c:pt idx="13">
                  <c:v>46.666666666666664</c:v>
                </c:pt>
                <c:pt idx="14">
                  <c:v>52.958876629889673</c:v>
                </c:pt>
                <c:pt idx="15">
                  <c:v>58.758758758758759</c:v>
                </c:pt>
                <c:pt idx="16">
                  <c:v>61.933534743202422</c:v>
                </c:pt>
                <c:pt idx="17">
                  <c:v>66.365461847389554</c:v>
                </c:pt>
                <c:pt idx="18">
                  <c:v>20.100000000000001</c:v>
                </c:pt>
                <c:pt idx="19">
                  <c:v>20.100000000000001</c:v>
                </c:pt>
              </c:numCache>
            </c:numRef>
          </c:val>
          <c:smooth val="0"/>
          <c:extLst>
            <c:ext xmlns:c16="http://schemas.microsoft.com/office/drawing/2014/chart" uri="{C3380CC4-5D6E-409C-BE32-E72D297353CC}">
              <c16:uniqueId val="{00000001-9CEF-4E0D-B21D-3DCE453E1054}"/>
            </c:ext>
          </c:extLst>
        </c:ser>
        <c:ser>
          <c:idx val="2"/>
          <c:order val="2"/>
          <c:tx>
            <c:strRef>
              <c:f>'ΚΑΤΑΣΤΑΣΗ ΕΠΙΧΕΙΡΗΣΗΣ ΜΕΘ.Ε '!$A$6</c:f>
              <c:strCache>
                <c:ptCount val="1"/>
                <c:pt idx="0">
                  <c:v>ΒΟΡΡΑΣ -ΕΕ</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'ΚΑΤΑΣΤΑΣΗ ΕΠΙΧΕΙΡΗΣΗΣ ΜΕΘ.Ε '!$B$3:$U$3</c:f>
              <c:strCache>
                <c:ptCount val="20"/>
                <c:pt idx="0">
                  <c:v>2011Α</c:v>
                </c:pt>
                <c:pt idx="1">
                  <c:v>2011Β</c:v>
                </c:pt>
                <c:pt idx="2">
                  <c:v>2012Α</c:v>
                </c:pt>
                <c:pt idx="3">
                  <c:v>2012Β</c:v>
                </c:pt>
                <c:pt idx="4">
                  <c:v>2013Α</c:v>
                </c:pt>
                <c:pt idx="5">
                  <c:v>2013Β</c:v>
                </c:pt>
                <c:pt idx="6">
                  <c:v>2014Α</c:v>
                </c:pt>
                <c:pt idx="7">
                  <c:v>2014Β</c:v>
                </c:pt>
                <c:pt idx="8">
                  <c:v>2015Α</c:v>
                </c:pt>
                <c:pt idx="9">
                  <c:v>2015Β</c:v>
                </c:pt>
                <c:pt idx="10">
                  <c:v>2016Α</c:v>
                </c:pt>
                <c:pt idx="11">
                  <c:v>2016Β</c:v>
                </c:pt>
                <c:pt idx="12">
                  <c:v>2017Α</c:v>
                </c:pt>
                <c:pt idx="13">
                  <c:v>2017Β</c:v>
                </c:pt>
                <c:pt idx="14">
                  <c:v>2018Α</c:v>
                </c:pt>
                <c:pt idx="15">
                  <c:v>2018Β</c:v>
                </c:pt>
                <c:pt idx="16">
                  <c:v>2019A</c:v>
                </c:pt>
                <c:pt idx="17">
                  <c:v>2019Β</c:v>
                </c:pt>
                <c:pt idx="18">
                  <c:v>2020Α</c:v>
                </c:pt>
                <c:pt idx="19">
                  <c:v>2020Β</c:v>
                </c:pt>
              </c:strCache>
            </c:strRef>
          </c:cat>
          <c:val>
            <c:numRef>
              <c:f>'ΚΑΤΑΣΤΑΣΗ ΕΠΙΧΕΙΡΗΣΗΣ ΜΕΘ.Ε '!$B$6:$U$6</c:f>
              <c:numCache>
                <c:formatCode>0.0</c:formatCode>
                <c:ptCount val="20"/>
                <c:pt idx="0">
                  <c:v>75.8</c:v>
                </c:pt>
                <c:pt idx="1">
                  <c:v>75.900000000000006</c:v>
                </c:pt>
                <c:pt idx="2">
                  <c:v>72.7</c:v>
                </c:pt>
                <c:pt idx="3">
                  <c:v>69.599999999999994</c:v>
                </c:pt>
                <c:pt idx="4">
                  <c:v>71</c:v>
                </c:pt>
                <c:pt idx="5">
                  <c:v>72.5</c:v>
                </c:pt>
                <c:pt idx="6">
                  <c:v>75.5</c:v>
                </c:pt>
                <c:pt idx="7">
                  <c:v>74.099999999999994</c:v>
                </c:pt>
                <c:pt idx="8">
                  <c:v>76.400000000000006</c:v>
                </c:pt>
                <c:pt idx="9">
                  <c:v>77.099999999999994</c:v>
                </c:pt>
                <c:pt idx="10">
                  <c:v>77.099999999999994</c:v>
                </c:pt>
                <c:pt idx="11">
                  <c:v>77.3</c:v>
                </c:pt>
                <c:pt idx="12">
                  <c:v>82.1</c:v>
                </c:pt>
                <c:pt idx="13">
                  <c:v>83.2</c:v>
                </c:pt>
                <c:pt idx="14">
                  <c:v>83.7</c:v>
                </c:pt>
                <c:pt idx="15">
                  <c:v>77.400000000000006</c:v>
                </c:pt>
                <c:pt idx="16">
                  <c:v>78</c:v>
                </c:pt>
                <c:pt idx="17">
                  <c:v>72.7</c:v>
                </c:pt>
                <c:pt idx="18">
                  <c:v>59.1</c:v>
                </c:pt>
                <c:pt idx="19">
                  <c:v>62.4</c:v>
                </c:pt>
              </c:numCache>
            </c:numRef>
          </c:val>
          <c:smooth val="0"/>
          <c:extLst>
            <c:ext xmlns:c16="http://schemas.microsoft.com/office/drawing/2014/chart" uri="{C3380CC4-5D6E-409C-BE32-E72D297353CC}">
              <c16:uniqueId val="{00000002-9CEF-4E0D-B21D-3DCE453E1054}"/>
            </c:ext>
          </c:extLst>
        </c:ser>
        <c:ser>
          <c:idx val="3"/>
          <c:order val="3"/>
          <c:tx>
            <c:strRef>
              <c:f>'ΚΑΤΑΣΤΑΣΗ ΕΠΙΧΕΙΡΗΣΗΣ ΜΕΘ.Ε '!$A$7</c:f>
              <c:strCache>
                <c:ptCount val="1"/>
                <c:pt idx="0">
                  <c:v>ΝΟΤΟΣ- ΕΕ</c:v>
                </c:pt>
              </c:strCache>
            </c:strRef>
          </c:tx>
          <c:spPr>
            <a:ln w="22225" cap="rnd">
              <a:solidFill>
                <a:schemeClr val="accent4"/>
              </a:solidFill>
              <a:round/>
            </a:ln>
            <a:effectLst/>
          </c:spPr>
          <c:marker>
            <c:symbol val="x"/>
            <c:size val="6"/>
            <c:spPr>
              <a:noFill/>
              <a:ln w="9525">
                <a:solidFill>
                  <a:schemeClr val="accent4"/>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'ΚΑΤΑΣΤΑΣΗ ΕΠΙΧΕΙΡΗΣΗΣ ΜΕΘ.Ε '!$B$3:$U$3</c:f>
              <c:strCache>
                <c:ptCount val="20"/>
                <c:pt idx="0">
                  <c:v>2011Α</c:v>
                </c:pt>
                <c:pt idx="1">
                  <c:v>2011Β</c:v>
                </c:pt>
                <c:pt idx="2">
                  <c:v>2012Α</c:v>
                </c:pt>
                <c:pt idx="3">
                  <c:v>2012Β</c:v>
                </c:pt>
                <c:pt idx="4">
                  <c:v>2013Α</c:v>
                </c:pt>
                <c:pt idx="5">
                  <c:v>2013Β</c:v>
                </c:pt>
                <c:pt idx="6">
                  <c:v>2014Α</c:v>
                </c:pt>
                <c:pt idx="7">
                  <c:v>2014Β</c:v>
                </c:pt>
                <c:pt idx="8">
                  <c:v>2015Α</c:v>
                </c:pt>
                <c:pt idx="9">
                  <c:v>2015Β</c:v>
                </c:pt>
                <c:pt idx="10">
                  <c:v>2016Α</c:v>
                </c:pt>
                <c:pt idx="11">
                  <c:v>2016Β</c:v>
                </c:pt>
                <c:pt idx="12">
                  <c:v>2017Α</c:v>
                </c:pt>
                <c:pt idx="13">
                  <c:v>2017Β</c:v>
                </c:pt>
                <c:pt idx="14">
                  <c:v>2018Α</c:v>
                </c:pt>
                <c:pt idx="15">
                  <c:v>2018Β</c:v>
                </c:pt>
                <c:pt idx="16">
                  <c:v>2019A</c:v>
                </c:pt>
                <c:pt idx="17">
                  <c:v>2019Β</c:v>
                </c:pt>
                <c:pt idx="18">
                  <c:v>2020Α</c:v>
                </c:pt>
                <c:pt idx="19">
                  <c:v>2020Β</c:v>
                </c:pt>
              </c:strCache>
            </c:strRef>
          </c:cat>
          <c:val>
            <c:numRef>
              <c:f>'ΚΑΤΑΣΤΑΣΗ ΕΠΙΧΕΙΡΗΣΗΣ ΜΕΘ.Ε '!$B$7:$U$7</c:f>
              <c:numCache>
                <c:formatCode>0.0</c:formatCode>
                <c:ptCount val="20"/>
                <c:pt idx="0">
                  <c:v>60.7</c:v>
                </c:pt>
                <c:pt idx="1">
                  <c:v>58.3</c:v>
                </c:pt>
                <c:pt idx="2">
                  <c:v>56.2</c:v>
                </c:pt>
                <c:pt idx="3">
                  <c:v>56.3</c:v>
                </c:pt>
                <c:pt idx="4">
                  <c:v>55.8</c:v>
                </c:pt>
                <c:pt idx="5">
                  <c:v>58.5</c:v>
                </c:pt>
                <c:pt idx="6">
                  <c:v>63.7</c:v>
                </c:pt>
                <c:pt idx="7">
                  <c:v>68.8</c:v>
                </c:pt>
                <c:pt idx="8">
                  <c:v>71.400000000000006</c:v>
                </c:pt>
                <c:pt idx="9">
                  <c:v>71.900000000000006</c:v>
                </c:pt>
                <c:pt idx="10">
                  <c:v>71.7</c:v>
                </c:pt>
                <c:pt idx="11">
                  <c:v>72.2</c:v>
                </c:pt>
                <c:pt idx="12">
                  <c:v>75.5</c:v>
                </c:pt>
                <c:pt idx="13">
                  <c:v>77.7</c:v>
                </c:pt>
                <c:pt idx="14">
                  <c:v>76.900000000000006</c:v>
                </c:pt>
                <c:pt idx="15">
                  <c:v>74.900000000000006</c:v>
                </c:pt>
                <c:pt idx="16">
                  <c:v>75.099999999999994</c:v>
                </c:pt>
                <c:pt idx="17">
                  <c:v>75.5</c:v>
                </c:pt>
                <c:pt idx="18">
                  <c:v>43.3</c:v>
                </c:pt>
                <c:pt idx="19">
                  <c:v>51.9</c:v>
                </c:pt>
              </c:numCache>
            </c:numRef>
          </c:val>
          <c:smooth val="0"/>
          <c:extLst>
            <c:ext xmlns:c16="http://schemas.microsoft.com/office/drawing/2014/chart" uri="{C3380CC4-5D6E-409C-BE32-E72D297353CC}">
              <c16:uniqueId val="{00000003-9CEF-4E0D-B21D-3DCE453E1054}"/>
            </c:ext>
          </c:extLst>
        </c:ser>
        <c:dLbls>
          <c:showLegendKey val="0"/>
          <c:showVal val="0"/>
          <c:showCatName val="0"/>
          <c:showSerName val="0"/>
          <c:showPercent val="0"/>
          <c:showBubbleSize val="0"/>
        </c:dLbls>
        <c:marker val="1"/>
        <c:smooth val="0"/>
        <c:axId val="338842368"/>
        <c:axId val="338843904"/>
      </c:lineChart>
      <c:catAx>
        <c:axId val="338842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el-GR"/>
          </a:p>
        </c:txPr>
        <c:crossAx val="338843904"/>
        <c:crosses val="autoZero"/>
        <c:auto val="1"/>
        <c:lblAlgn val="ctr"/>
        <c:lblOffset val="100"/>
        <c:noMultiLvlLbl val="0"/>
      </c:catAx>
      <c:valAx>
        <c:axId val="338843904"/>
        <c:scaling>
          <c:orientation val="minMax"/>
          <c:max val="90"/>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38842368"/>
        <c:crosses val="autoZero"/>
        <c:crossBetween val="between"/>
        <c:majorUnit val="10"/>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855652053986335"/>
          <c:y val="0.10526040035955612"/>
          <c:w val="0.81503070540054934"/>
          <c:h val="0.83061961970555465"/>
        </c:manualLayout>
      </c:layout>
      <c:barChart>
        <c:barDir val="bar"/>
        <c:grouping val="percentStacked"/>
        <c:varyColors val="0"/>
        <c:ser>
          <c:idx val="0"/>
          <c:order val="0"/>
          <c:tx>
            <c:strRef>
              <c:f>Φύλλο1!$B$1</c:f>
              <c:strCache>
                <c:ptCount val="1"/>
                <c:pt idx="0">
                  <c:v>Αύξηση</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Φύλλο1!$A$2:$A$4</c:f>
              <c:strCache>
                <c:ptCount val="3"/>
                <c:pt idx="0">
                  <c:v>ΖΗΤΗΣΗ</c:v>
                </c:pt>
                <c:pt idx="1">
                  <c:v>ΠΑΡΑΓΓΕΛΙΕΣ</c:v>
                </c:pt>
                <c:pt idx="2">
                  <c:v>ΤΙΜΕΣ</c:v>
                </c:pt>
              </c:strCache>
            </c:strRef>
          </c:cat>
          <c:val>
            <c:numRef>
              <c:f>Φύλλο1!$B$2:$B$4</c:f>
              <c:numCache>
                <c:formatCode>General</c:formatCode>
                <c:ptCount val="3"/>
                <c:pt idx="0">
                  <c:v>13.7</c:v>
                </c:pt>
                <c:pt idx="1">
                  <c:v>9.1999999999999993</c:v>
                </c:pt>
                <c:pt idx="2">
                  <c:v>6.6</c:v>
                </c:pt>
              </c:numCache>
            </c:numRef>
          </c:val>
          <c:extLst>
            <c:ext xmlns:c16="http://schemas.microsoft.com/office/drawing/2014/chart" uri="{C3380CC4-5D6E-409C-BE32-E72D297353CC}">
              <c16:uniqueId val="{00000000-BB3A-4024-894D-E1612CBF869E}"/>
            </c:ext>
          </c:extLst>
        </c:ser>
        <c:ser>
          <c:idx val="1"/>
          <c:order val="1"/>
          <c:tx>
            <c:strRef>
              <c:f>Φύλλο1!$C$1</c:f>
              <c:strCache>
                <c:ptCount val="1"/>
                <c:pt idx="0">
                  <c:v>Μείωση</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Φύλλο1!$A$2:$A$4</c:f>
              <c:strCache>
                <c:ptCount val="3"/>
                <c:pt idx="0">
                  <c:v>ΖΗΤΗΣΗ</c:v>
                </c:pt>
                <c:pt idx="1">
                  <c:v>ΠΑΡΑΓΓΕΛΙΕΣ</c:v>
                </c:pt>
                <c:pt idx="2">
                  <c:v>ΤΙΜΕΣ</c:v>
                </c:pt>
              </c:strCache>
            </c:strRef>
          </c:cat>
          <c:val>
            <c:numRef>
              <c:f>Φύλλο1!$C$2:$C$4</c:f>
              <c:numCache>
                <c:formatCode>General</c:formatCode>
                <c:ptCount val="3"/>
                <c:pt idx="0">
                  <c:v>66.8</c:v>
                </c:pt>
                <c:pt idx="1">
                  <c:v>71.5</c:v>
                </c:pt>
                <c:pt idx="2">
                  <c:v>31.3</c:v>
                </c:pt>
              </c:numCache>
            </c:numRef>
          </c:val>
          <c:extLst>
            <c:ext xmlns:c16="http://schemas.microsoft.com/office/drawing/2014/chart" uri="{C3380CC4-5D6E-409C-BE32-E72D297353CC}">
              <c16:uniqueId val="{00000001-BB3A-4024-894D-E1612CBF869E}"/>
            </c:ext>
          </c:extLst>
        </c:ser>
        <c:ser>
          <c:idx val="2"/>
          <c:order val="2"/>
          <c:tx>
            <c:strRef>
              <c:f>Φύλλο1!$D$1</c:f>
              <c:strCache>
                <c:ptCount val="1"/>
                <c:pt idx="0">
                  <c:v>Χωρίς μεταβολή</c:v>
                </c:pt>
              </c:strCache>
            </c:strRef>
          </c:tx>
          <c:spPr>
            <a:solidFill>
              <a:schemeClr val="accent1">
                <a:lumMod val="75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Φύλλο1!$A$2:$A$4</c:f>
              <c:strCache>
                <c:ptCount val="3"/>
                <c:pt idx="0">
                  <c:v>ΖΗΤΗΣΗ</c:v>
                </c:pt>
                <c:pt idx="1">
                  <c:v>ΠΑΡΑΓΓΕΛΙΕΣ</c:v>
                </c:pt>
                <c:pt idx="2">
                  <c:v>ΤΙΜΕΣ</c:v>
                </c:pt>
              </c:strCache>
            </c:strRef>
          </c:cat>
          <c:val>
            <c:numRef>
              <c:f>Φύλλο1!$D$2:$D$4</c:f>
              <c:numCache>
                <c:formatCode>General</c:formatCode>
                <c:ptCount val="3"/>
                <c:pt idx="0">
                  <c:v>19.100000000000001</c:v>
                </c:pt>
                <c:pt idx="1">
                  <c:v>17.7</c:v>
                </c:pt>
                <c:pt idx="2">
                  <c:v>61.7</c:v>
                </c:pt>
              </c:numCache>
            </c:numRef>
          </c:val>
          <c:extLst>
            <c:ext xmlns:c16="http://schemas.microsoft.com/office/drawing/2014/chart" uri="{C3380CC4-5D6E-409C-BE32-E72D297353CC}">
              <c16:uniqueId val="{00000002-BB3A-4024-894D-E1612CBF869E}"/>
            </c:ext>
          </c:extLst>
        </c:ser>
        <c:ser>
          <c:idx val="3"/>
          <c:order val="3"/>
          <c:tx>
            <c:strRef>
              <c:f>Φύλλο1!$E$1</c:f>
              <c:strCache>
                <c:ptCount val="1"/>
                <c:pt idx="0">
                  <c:v>ΔΑ</c:v>
                </c:pt>
              </c:strCache>
            </c:strRef>
          </c:tx>
          <c:spPr>
            <a:solidFill>
              <a:schemeClr val="tx1">
                <a:lumMod val="50000"/>
                <a:lumOff val="50000"/>
              </a:schemeClr>
            </a:solidFill>
          </c:spPr>
          <c:invertIfNegative val="0"/>
          <c:dLbls>
            <c:dLbl>
              <c:idx val="0"/>
              <c:layout>
                <c:manualLayout>
                  <c:x val="1.8245099203536772E-2"/>
                  <c:y val="2.3517757286227454E-3"/>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3A-4024-894D-E1612CBF869E}"/>
                </c:ext>
              </c:extLst>
            </c:dLbl>
            <c:dLbl>
              <c:idx val="1"/>
              <c:layout>
                <c:manualLayout>
                  <c:x val="2.6759478831853752E-2"/>
                  <c:y val="-8.6223991280179841E-17"/>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3A-4024-894D-E1612CBF869E}"/>
                </c:ext>
              </c:extLst>
            </c:dLbl>
            <c:dLbl>
              <c:idx val="2"/>
              <c:layout>
                <c:manualLayout>
                  <c:x val="2.6759478831853933E-2"/>
                  <c:y val="-8.6223991280179841E-17"/>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3A-4024-894D-E1612CBF869E}"/>
                </c:ext>
              </c:extLst>
            </c:dLbl>
            <c:dLbl>
              <c:idx val="3"/>
              <c:layout>
                <c:manualLayout>
                  <c:x val="3.8922878300878448E-2"/>
                  <c:y val="-8.6223991280179841E-17"/>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3A-4024-894D-E1612CBF869E}"/>
                </c:ext>
              </c:extLst>
            </c:dLbl>
            <c:dLbl>
              <c:idx val="4"/>
              <c:layout>
                <c:manualLayout>
                  <c:x val="3.2841178566366189E-2"/>
                  <c:y val="-8.6223991280179841E-17"/>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B3A-4024-894D-E1612CBF869E}"/>
                </c:ext>
              </c:extLst>
            </c:dLbl>
            <c:dLbl>
              <c:idx val="5"/>
              <c:layout>
                <c:manualLayout>
                  <c:x val="2.6759478831853933E-2"/>
                  <c:y val="-2.3515905640114493E-3"/>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B3A-4024-894D-E1612CBF869E}"/>
                </c:ext>
              </c:extLst>
            </c:dLbl>
            <c:dLbl>
              <c:idx val="6"/>
              <c:layout>
                <c:manualLayout>
                  <c:x val="4.1355558194683346E-2"/>
                  <c:y val="-2.3515905640114063E-3"/>
                </c:manualLayout>
              </c:layout>
              <c:spPr/>
              <c:txPr>
                <a:bodyPr/>
                <a:lstStyle/>
                <a:p>
                  <a:pPr algn="ctr">
                    <a:defRPr/>
                  </a:pPr>
                  <a:endParaRPr lang="el-GR"/>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B3A-4024-894D-E1612CBF869E}"/>
                </c:ext>
              </c:extLst>
            </c:dLbl>
            <c:spPr>
              <a:noFill/>
              <a:ln>
                <a:noFill/>
              </a:ln>
              <a:effectLst/>
            </c:spPr>
            <c:txPr>
              <a:bodyPr/>
              <a:lstStyle/>
              <a:p>
                <a:pPr algn="ctr">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Φύλλο1!$A$2:$A$4</c:f>
              <c:strCache>
                <c:ptCount val="3"/>
                <c:pt idx="0">
                  <c:v>ΖΗΤΗΣΗ</c:v>
                </c:pt>
                <c:pt idx="1">
                  <c:v>ΠΑΡΑΓΓΕΛΙΕΣ</c:v>
                </c:pt>
                <c:pt idx="2">
                  <c:v>ΤΙΜΕΣ</c:v>
                </c:pt>
              </c:strCache>
            </c:strRef>
          </c:cat>
          <c:val>
            <c:numRef>
              <c:f>Φύλλο1!$E$2:$E$4</c:f>
              <c:numCache>
                <c:formatCode>General</c:formatCode>
                <c:ptCount val="3"/>
                <c:pt idx="0">
                  <c:v>0.4</c:v>
                </c:pt>
                <c:pt idx="1">
                  <c:v>1.6</c:v>
                </c:pt>
                <c:pt idx="2">
                  <c:v>0.4</c:v>
                </c:pt>
              </c:numCache>
            </c:numRef>
          </c:val>
          <c:extLst>
            <c:ext xmlns:c16="http://schemas.microsoft.com/office/drawing/2014/chart" uri="{C3380CC4-5D6E-409C-BE32-E72D297353CC}">
              <c16:uniqueId val="{0000000A-BB3A-4024-894D-E1612CBF869E}"/>
            </c:ext>
          </c:extLst>
        </c:ser>
        <c:dLbls>
          <c:showLegendKey val="0"/>
          <c:showVal val="0"/>
          <c:showCatName val="0"/>
          <c:showSerName val="0"/>
          <c:showPercent val="0"/>
          <c:showBubbleSize val="0"/>
        </c:dLbls>
        <c:gapWidth val="50"/>
        <c:overlap val="100"/>
        <c:axId val="351144960"/>
        <c:axId val="351163136"/>
      </c:barChart>
      <c:catAx>
        <c:axId val="351144960"/>
        <c:scaling>
          <c:orientation val="maxMin"/>
        </c:scaling>
        <c:delete val="0"/>
        <c:axPos val="l"/>
        <c:numFmt formatCode="General" sourceLinked="0"/>
        <c:majorTickMark val="out"/>
        <c:minorTickMark val="none"/>
        <c:tickLblPos val="nextTo"/>
        <c:crossAx val="351163136"/>
        <c:crosses val="autoZero"/>
        <c:auto val="1"/>
        <c:lblAlgn val="ctr"/>
        <c:lblOffset val="100"/>
        <c:noMultiLvlLbl val="0"/>
      </c:catAx>
      <c:valAx>
        <c:axId val="351163136"/>
        <c:scaling>
          <c:orientation val="minMax"/>
        </c:scaling>
        <c:delete val="0"/>
        <c:axPos val="b"/>
        <c:majorGridlines/>
        <c:numFmt formatCode="0%" sourceLinked="1"/>
        <c:majorTickMark val="out"/>
        <c:minorTickMark val="none"/>
        <c:tickLblPos val="nextTo"/>
        <c:crossAx val="351144960"/>
        <c:crosses val="max"/>
        <c:crossBetween val="between"/>
      </c:valAx>
    </c:plotArea>
    <c:legend>
      <c:legendPos val="r"/>
      <c:layout>
        <c:manualLayout>
          <c:xMode val="edge"/>
          <c:yMode val="edge"/>
          <c:x val="0.16400945871914618"/>
          <c:y val="2.8154093989556716E-2"/>
          <c:w val="0.78739823927609576"/>
          <c:h val="6.201162833759212E-2"/>
        </c:manualLayout>
      </c:layout>
      <c:overlay val="0"/>
    </c:legend>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121904894728009E-2"/>
          <c:y val="4.6907516080302844E-2"/>
          <c:w val="0.95567228148803007"/>
          <c:h val="0.75839100069550869"/>
        </c:manualLayout>
      </c:layout>
      <c:barChart>
        <c:barDir val="col"/>
        <c:grouping val="clustered"/>
        <c:varyColors val="0"/>
        <c:ser>
          <c:idx val="0"/>
          <c:order val="0"/>
          <c:tx>
            <c:strRef>
              <c:f>Φύλλο1!$B$1</c:f>
              <c:strCache>
                <c:ptCount val="1"/>
                <c:pt idx="0">
                  <c:v>Φεβρουάριος 2021</c:v>
                </c:pt>
              </c:strCache>
            </c:strRef>
          </c:tx>
          <c:spPr>
            <a:solidFill>
              <a:schemeClr val="accent1">
                <a:lumMod val="75000"/>
              </a:schemeClr>
            </a:solidFill>
            <a:ln>
              <a:noFill/>
            </a:ln>
          </c:spPr>
          <c:invertIfNegative val="0"/>
          <c:dPt>
            <c:idx val="0"/>
            <c:invertIfNegative val="0"/>
            <c:bubble3D val="0"/>
            <c:extLst>
              <c:ext xmlns:c16="http://schemas.microsoft.com/office/drawing/2014/chart" uri="{C3380CC4-5D6E-409C-BE32-E72D297353CC}">
                <c16:uniqueId val="{00000000-CE40-4D46-979F-1AE87E7D15C0}"/>
              </c:ext>
            </c:extLst>
          </c:dPt>
          <c:dPt>
            <c:idx val="1"/>
            <c:invertIfNegative val="0"/>
            <c:bubble3D val="0"/>
            <c:extLst>
              <c:ext xmlns:c16="http://schemas.microsoft.com/office/drawing/2014/chart" uri="{C3380CC4-5D6E-409C-BE32-E72D297353CC}">
                <c16:uniqueId val="{00000001-CE40-4D46-979F-1AE87E7D15C0}"/>
              </c:ext>
            </c:extLst>
          </c:dPt>
          <c:dPt>
            <c:idx val="2"/>
            <c:invertIfNegative val="0"/>
            <c:bubble3D val="0"/>
            <c:extLst>
              <c:ext xmlns:c16="http://schemas.microsoft.com/office/drawing/2014/chart" uri="{C3380CC4-5D6E-409C-BE32-E72D297353CC}">
                <c16:uniqueId val="{00000002-CE40-4D46-979F-1AE87E7D15C0}"/>
              </c:ext>
            </c:extLst>
          </c:dPt>
          <c:dPt>
            <c:idx val="3"/>
            <c:invertIfNegative val="0"/>
            <c:bubble3D val="0"/>
            <c:extLst>
              <c:ext xmlns:c16="http://schemas.microsoft.com/office/drawing/2014/chart" uri="{C3380CC4-5D6E-409C-BE32-E72D297353CC}">
                <c16:uniqueId val="{00000003-CE40-4D46-979F-1AE87E7D15C0}"/>
              </c:ext>
            </c:extLst>
          </c:dPt>
          <c:dPt>
            <c:idx val="5"/>
            <c:invertIfNegative val="0"/>
            <c:bubble3D val="0"/>
            <c:extLst>
              <c:ext xmlns:c16="http://schemas.microsoft.com/office/drawing/2014/chart" uri="{C3380CC4-5D6E-409C-BE32-E72D297353CC}">
                <c16:uniqueId val="{00000004-CE40-4D46-979F-1AE87E7D15C0}"/>
              </c:ext>
            </c:extLst>
          </c:dPt>
          <c:dPt>
            <c:idx val="9"/>
            <c:invertIfNegative val="0"/>
            <c:bubble3D val="0"/>
            <c:extLst>
              <c:ext xmlns:c16="http://schemas.microsoft.com/office/drawing/2014/chart" uri="{C3380CC4-5D6E-409C-BE32-E72D297353CC}">
                <c16:uniqueId val="{00000005-CE40-4D46-979F-1AE87E7D15C0}"/>
              </c:ext>
            </c:extLst>
          </c:dPt>
          <c:dLbls>
            <c:dLbl>
              <c:idx val="4"/>
              <c:spPr/>
              <c:txPr>
                <a:bodyPr/>
                <a:lstStyle/>
                <a:p>
                  <a:pPr algn="ctr">
                    <a:defRPr/>
                  </a:pPr>
                  <a:endParaRPr lang="el-GR"/>
                </a:p>
              </c:txPr>
              <c:dLblPos val="outEnd"/>
              <c:showLegendKey val="0"/>
              <c:showVal val="1"/>
              <c:showCatName val="0"/>
              <c:showSerName val="0"/>
              <c:showPercent val="0"/>
              <c:showBubbleSize val="0"/>
              <c:extLst>
                <c:ext xmlns:c16="http://schemas.microsoft.com/office/drawing/2014/chart" uri="{C3380CC4-5D6E-409C-BE32-E72D297353CC}">
                  <c16:uniqueId val="{00000006-A436-43D5-BFBD-5C0703B4303E}"/>
                </c:ext>
              </c:extLst>
            </c:dLbl>
            <c:dLbl>
              <c:idx val="5"/>
              <c:spPr/>
              <c:txPr>
                <a:bodyPr/>
                <a:lstStyle/>
                <a:p>
                  <a:pPr algn="ctr">
                    <a:defRPr/>
                  </a:pPr>
                  <a:endParaRPr lang="el-GR"/>
                </a:p>
              </c:txPr>
              <c:dLblPos val="outEnd"/>
              <c:showLegendKey val="0"/>
              <c:showVal val="1"/>
              <c:showCatName val="0"/>
              <c:showSerName val="0"/>
              <c:showPercent val="0"/>
              <c:showBubbleSize val="0"/>
              <c:extLst>
                <c:ext xmlns:c16="http://schemas.microsoft.com/office/drawing/2014/chart" uri="{C3380CC4-5D6E-409C-BE32-E72D297353CC}">
                  <c16:uniqueId val="{00000004-CE40-4D46-979F-1AE87E7D15C0}"/>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Φύλλο1!$A$2:$A$8</c:f>
              <c:strCache>
                <c:ptCount val="7"/>
                <c:pt idx="0">
                  <c:v>Δεν υπάρχουν ταμειακά διαθέσιμα</c:v>
                </c:pt>
                <c:pt idx="1">
                  <c:v>Λιγότερο από μήνα</c:v>
                </c:pt>
                <c:pt idx="2">
                  <c:v>Ένα μήνα</c:v>
                </c:pt>
                <c:pt idx="3">
                  <c:v>Δύο μήνες</c:v>
                </c:pt>
                <c:pt idx="4">
                  <c:v>3-4 μήνες</c:v>
                </c:pt>
                <c:pt idx="5">
                  <c:v>5-6 μήνες</c:v>
                </c:pt>
                <c:pt idx="6">
                  <c:v>Περισσότερο από 6 μήνες</c:v>
                </c:pt>
              </c:strCache>
            </c:strRef>
          </c:cat>
          <c:val>
            <c:numRef>
              <c:f>Φύλλο1!$B$2:$B$8</c:f>
              <c:numCache>
                <c:formatCode>General</c:formatCode>
                <c:ptCount val="7"/>
                <c:pt idx="0">
                  <c:v>24.7</c:v>
                </c:pt>
                <c:pt idx="1">
                  <c:v>9.6</c:v>
                </c:pt>
                <c:pt idx="2">
                  <c:v>14.4</c:v>
                </c:pt>
                <c:pt idx="3">
                  <c:v>13.7</c:v>
                </c:pt>
                <c:pt idx="4">
                  <c:v>12.9</c:v>
                </c:pt>
                <c:pt idx="5">
                  <c:v>10.3</c:v>
                </c:pt>
                <c:pt idx="6">
                  <c:v>7.6</c:v>
                </c:pt>
              </c:numCache>
            </c:numRef>
          </c:val>
          <c:extLst>
            <c:ext xmlns:c16="http://schemas.microsoft.com/office/drawing/2014/chart" uri="{C3380CC4-5D6E-409C-BE32-E72D297353CC}">
              <c16:uniqueId val="{00000007-CE40-4D46-979F-1AE87E7D15C0}"/>
            </c:ext>
          </c:extLst>
        </c:ser>
        <c:ser>
          <c:idx val="1"/>
          <c:order val="1"/>
          <c:tx>
            <c:strRef>
              <c:f>Φύλλο1!$C$1</c:f>
              <c:strCache>
                <c:ptCount val="1"/>
                <c:pt idx="0">
                  <c:v>Ιούνιος 2020</c:v>
                </c:pt>
              </c:strCache>
            </c:strRef>
          </c:tx>
          <c:spPr>
            <a:solidFill>
              <a:schemeClr val="accent1">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Φύλλο1!$A$2:$A$8</c:f>
              <c:strCache>
                <c:ptCount val="7"/>
                <c:pt idx="0">
                  <c:v>Δεν υπάρχουν ταμειακά διαθέσιμα</c:v>
                </c:pt>
                <c:pt idx="1">
                  <c:v>Λιγότερο από μήνα</c:v>
                </c:pt>
                <c:pt idx="2">
                  <c:v>Ένα μήνα</c:v>
                </c:pt>
                <c:pt idx="3">
                  <c:v>Δύο μήνες</c:v>
                </c:pt>
                <c:pt idx="4">
                  <c:v>3-4 μήνες</c:v>
                </c:pt>
                <c:pt idx="5">
                  <c:v>5-6 μήνες</c:v>
                </c:pt>
                <c:pt idx="6">
                  <c:v>Περισσότερο από 6 μήνες</c:v>
                </c:pt>
              </c:strCache>
            </c:strRef>
          </c:cat>
          <c:val>
            <c:numRef>
              <c:f>Φύλλο1!$C$2:$C$8</c:f>
              <c:numCache>
                <c:formatCode>General</c:formatCode>
                <c:ptCount val="7"/>
                <c:pt idx="0">
                  <c:v>14.8</c:v>
                </c:pt>
                <c:pt idx="1">
                  <c:v>10.7</c:v>
                </c:pt>
                <c:pt idx="2">
                  <c:v>15.2</c:v>
                </c:pt>
                <c:pt idx="3">
                  <c:v>13.7</c:v>
                </c:pt>
                <c:pt idx="4">
                  <c:v>14.8</c:v>
                </c:pt>
                <c:pt idx="5">
                  <c:v>9.9</c:v>
                </c:pt>
                <c:pt idx="6">
                  <c:v>10.6</c:v>
                </c:pt>
              </c:numCache>
            </c:numRef>
          </c:val>
          <c:extLst>
            <c:ext xmlns:c16="http://schemas.microsoft.com/office/drawing/2014/chart" uri="{C3380CC4-5D6E-409C-BE32-E72D297353CC}">
              <c16:uniqueId val="{00000008-CE40-4D46-979F-1AE87E7D15C0}"/>
            </c:ext>
          </c:extLst>
        </c:ser>
        <c:dLbls>
          <c:dLblPos val="outEnd"/>
          <c:showLegendKey val="0"/>
          <c:showVal val="1"/>
          <c:showCatName val="0"/>
          <c:showSerName val="0"/>
          <c:showPercent val="0"/>
          <c:showBubbleSize val="0"/>
        </c:dLbls>
        <c:gapWidth val="72"/>
        <c:overlap val="-10"/>
        <c:axId val="351192960"/>
        <c:axId val="351194496"/>
      </c:barChart>
      <c:catAx>
        <c:axId val="351192960"/>
        <c:scaling>
          <c:orientation val="minMax"/>
        </c:scaling>
        <c:delete val="0"/>
        <c:axPos val="b"/>
        <c:numFmt formatCode="General" sourceLinked="0"/>
        <c:majorTickMark val="out"/>
        <c:minorTickMark val="none"/>
        <c:tickLblPos val="nextTo"/>
        <c:txPr>
          <a:bodyPr/>
          <a:lstStyle/>
          <a:p>
            <a:pPr>
              <a:defRPr sz="700"/>
            </a:pPr>
            <a:endParaRPr lang="el-GR"/>
          </a:p>
        </c:txPr>
        <c:crossAx val="351194496"/>
        <c:crosses val="autoZero"/>
        <c:auto val="1"/>
        <c:lblAlgn val="ctr"/>
        <c:lblOffset val="100"/>
        <c:noMultiLvlLbl val="0"/>
      </c:catAx>
      <c:valAx>
        <c:axId val="351194496"/>
        <c:scaling>
          <c:orientation val="minMax"/>
          <c:min val="0"/>
        </c:scaling>
        <c:delete val="0"/>
        <c:axPos val="l"/>
        <c:numFmt formatCode="General" sourceLinked="1"/>
        <c:majorTickMark val="out"/>
        <c:minorTickMark val="none"/>
        <c:tickLblPos val="nextTo"/>
        <c:crossAx val="351192960"/>
        <c:crosses val="autoZero"/>
        <c:crossBetween val="between"/>
      </c:valAx>
    </c:plotArea>
    <c:legend>
      <c:legendPos val="t"/>
      <c:layout>
        <c:manualLayout>
          <c:xMode val="edge"/>
          <c:yMode val="edge"/>
          <c:x val="0.32662374431514779"/>
          <c:y val="9.6640708110057788E-2"/>
          <c:w val="0.34692946303457328"/>
          <c:h val="6.1855189606025512E-2"/>
        </c:manualLayout>
      </c:layout>
      <c:overlay val="0"/>
    </c:legend>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6086545939340071E-2"/>
          <c:y val="9.4591703352405271E-2"/>
          <c:w val="0.94419215768381026"/>
          <c:h val="0.77744855606322094"/>
        </c:manualLayout>
      </c:layout>
      <c:lineChart>
        <c:grouping val="standard"/>
        <c:varyColors val="0"/>
        <c:ser>
          <c:idx val="0"/>
          <c:order val="0"/>
          <c:tx>
            <c:strRef>
              <c:f>Φύλλο1!$B$1</c:f>
              <c:strCache>
                <c:ptCount val="1"/>
                <c:pt idx="0">
                  <c:v>Αύξηση</c:v>
                </c:pt>
              </c:strCache>
            </c:strRef>
          </c:tx>
          <c:spPr>
            <a:ln>
              <a:solidFill>
                <a:schemeClr val="accent3">
                  <a:lumMod val="75000"/>
                </a:schemeClr>
              </a:solidFill>
            </a:ln>
          </c:spPr>
          <c:marker>
            <c:spPr>
              <a:solidFill>
                <a:schemeClr val="accent3">
                  <a:lumMod val="75000"/>
                </a:schemeClr>
              </a:solidFill>
              <a:ln>
                <a:solidFill>
                  <a:schemeClr val="accent3">
                    <a:lumMod val="75000"/>
                  </a:schemeClr>
                </a:solidFill>
              </a:ln>
            </c:spPr>
          </c:marker>
          <c:dLbls>
            <c:dLbl>
              <c:idx val="0"/>
              <c:layout>
                <c:manualLayout>
                  <c:x val="-3.1995888968088873E-2"/>
                  <c:y val="-2.594384206066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70-4529-8CBE-17860096F5C8}"/>
                </c:ext>
              </c:extLst>
            </c:dLbl>
            <c:dLbl>
              <c:idx val="1"/>
              <c:layout>
                <c:manualLayout>
                  <c:x val="-2.1776282983795563E-2"/>
                  <c:y val="-3.61750850237205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70-4529-8CBE-17860096F5C8}"/>
                </c:ext>
              </c:extLst>
            </c:dLbl>
            <c:dLbl>
              <c:idx val="2"/>
              <c:layout>
                <c:manualLayout>
                  <c:x val="-3.2660980055714002E-2"/>
                  <c:y val="-3.0794638338244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70-4529-8CBE-17860096F5C8}"/>
                </c:ext>
              </c:extLst>
            </c:dLbl>
            <c:dLbl>
              <c:idx val="3"/>
              <c:layout>
                <c:manualLayout>
                  <c:x val="-3.6695541453999968E-2"/>
                  <c:y val="-2.79513213809576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70-4529-8CBE-17860096F5C8}"/>
                </c:ext>
              </c:extLst>
            </c:dLbl>
            <c:dLbl>
              <c:idx val="4"/>
              <c:layout>
                <c:manualLayout>
                  <c:x val="-3.3939220704977457E-2"/>
                  <c:y val="-3.3638053483277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170-4529-8CBE-17860096F5C8}"/>
                </c:ext>
              </c:extLst>
            </c:dLbl>
            <c:dLbl>
              <c:idx val="5"/>
              <c:layout>
                <c:manualLayout>
                  <c:x val="-2.8449003894638232E-2"/>
                  <c:y val="-3.355037665798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170-4529-8CBE-17860096F5C8}"/>
                </c:ext>
              </c:extLst>
            </c:dLbl>
            <c:dLbl>
              <c:idx val="6"/>
              <c:layout>
                <c:manualLayout>
                  <c:x val="-2.4111427706289715E-2"/>
                  <c:y val="-3.66560833518497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170-4529-8CBE-17860096F5C8}"/>
                </c:ext>
              </c:extLst>
            </c:dLbl>
            <c:dLbl>
              <c:idx val="7"/>
              <c:layout>
                <c:manualLayout>
                  <c:x val="-3.2853130517646795E-2"/>
                  <c:y val="-4.17068086962145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170-4529-8CBE-17860096F5C8}"/>
                </c:ext>
              </c:extLst>
            </c:dLbl>
            <c:dLbl>
              <c:idx val="8"/>
              <c:layout>
                <c:manualLayout>
                  <c:x val="-1.5192359645401096E-2"/>
                  <c:y val="-3.58250124986112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170-4529-8CBE-17860096F5C8}"/>
                </c:ext>
              </c:extLst>
            </c:dLbl>
            <c:dLbl>
              <c:idx val="9"/>
              <c:layout>
                <c:manualLayout>
                  <c:x val="-2.0749328505982996E-2"/>
                  <c:y val="-3.5825012498611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170-4529-8CBE-17860096F5C8}"/>
                </c:ext>
              </c:extLst>
            </c:dLbl>
            <c:dLbl>
              <c:idx val="10"/>
              <c:layout>
                <c:manualLayout>
                  <c:x val="-3.9769546303134076E-2"/>
                  <c:y val="-2.7557701922008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170-4529-8CBE-17860096F5C8}"/>
                </c:ext>
              </c:extLst>
            </c:dLbl>
            <c:dLbl>
              <c:idx val="11"/>
              <c:layout>
                <c:manualLayout>
                  <c:x val="-2.0837949806522628E-2"/>
                  <c:y val="-3.30692423064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170-4529-8CBE-17860096F5C8}"/>
                </c:ext>
              </c:extLst>
            </c:dLbl>
            <c:dLbl>
              <c:idx val="12"/>
              <c:layout>
                <c:manualLayout>
                  <c:x val="-3.6311324885470252E-2"/>
                  <c:y val="-3.5825012498611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170-4529-8CBE-17860096F5C8}"/>
                </c:ext>
              </c:extLst>
            </c:dLbl>
            <c:dLbl>
              <c:idx val="13"/>
              <c:layout>
                <c:manualLayout>
                  <c:x val="-1.3832885670655413E-2"/>
                  <c:y val="-1.92903913454061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170-4529-8CBE-17860096F5C8}"/>
                </c:ext>
              </c:extLst>
            </c:dLbl>
            <c:dLbl>
              <c:idx val="14"/>
              <c:layout>
                <c:manualLayout>
                  <c:x val="-1.556213252993676E-2"/>
                  <c:y val="-3.0313472114209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170-4529-8CBE-17860096F5C8}"/>
                </c:ext>
              </c:extLst>
            </c:dLbl>
            <c:dLbl>
              <c:idx val="15"/>
              <c:layout>
                <c:manualLayout>
                  <c:x val="-1.7291107088319164E-2"/>
                  <c:y val="-3.03134721142095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170-4529-8CBE-17860096F5C8}"/>
                </c:ext>
              </c:extLst>
            </c:dLbl>
            <c:dLbl>
              <c:idx val="16"/>
              <c:layout>
                <c:manualLayout>
                  <c:x val="-2.247843921481479E-2"/>
                  <c:y val="-2.75577019220086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170-4529-8CBE-17860096F5C8}"/>
                </c:ext>
              </c:extLst>
            </c:dLbl>
            <c:dLbl>
              <c:idx val="17"/>
              <c:layout>
                <c:manualLayout>
                  <c:x val="-2.7208208749752556E-2"/>
                  <c:y val="-2.7557701922008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170-4529-8CBE-17860096F5C8}"/>
                </c:ext>
              </c:extLst>
            </c:dLbl>
            <c:dLbl>
              <c:idx val="18"/>
              <c:layout>
                <c:manualLayout>
                  <c:x val="-2.0718712413596557E-2"/>
                  <c:y val="-3.30692423064103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42-4CDC-912C-4EBF2B31AC13}"/>
                </c:ext>
              </c:extLst>
            </c:dLbl>
            <c:dLbl>
              <c:idx val="19"/>
              <c:layout>
                <c:manualLayout>
                  <c:x val="-1.5299746823682438E-2"/>
                  <c:y val="-3.8672300108827863E-2"/>
                </c:manualLayout>
              </c:layout>
              <c:showLegendKey val="0"/>
              <c:showVal val="1"/>
              <c:showCatName val="0"/>
              <c:showSerName val="0"/>
              <c:showPercent val="0"/>
              <c:showBubbleSize val="0"/>
              <c:extLst>
                <c:ext xmlns:c15="http://schemas.microsoft.com/office/drawing/2012/chart" uri="{CE6537A1-D6FC-4f65-9D91-7224C49458BB}">
                  <c15:layout>
                    <c:manualLayout>
                      <c:w val="4.176878897513802E-2"/>
                      <c:h val="4.8639343892345296E-2"/>
                    </c:manualLayout>
                  </c15:layout>
                </c:ext>
                <c:ext xmlns:c16="http://schemas.microsoft.com/office/drawing/2014/chart" uri="{C3380CC4-5D6E-409C-BE32-E72D297353CC}">
                  <c16:uniqueId val="{00000002-1D05-4246-9D31-6FB4FD939F5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Φύλλο1!$A$2:$A$24</c:f>
              <c:strCache>
                <c:ptCount val="23"/>
                <c:pt idx="0">
                  <c:v>B2009</c:v>
                </c:pt>
                <c:pt idx="1">
                  <c:v>Α2010</c:v>
                </c:pt>
                <c:pt idx="2">
                  <c:v>Β2010</c:v>
                </c:pt>
                <c:pt idx="3">
                  <c:v>Α2011</c:v>
                </c:pt>
                <c:pt idx="4">
                  <c:v>Β2011</c:v>
                </c:pt>
                <c:pt idx="5">
                  <c:v>Α2012</c:v>
                </c:pt>
                <c:pt idx="6">
                  <c:v>Β2012</c:v>
                </c:pt>
                <c:pt idx="7">
                  <c:v>Α2013</c:v>
                </c:pt>
                <c:pt idx="8">
                  <c:v>Β2013</c:v>
                </c:pt>
                <c:pt idx="9">
                  <c:v>Α2014</c:v>
                </c:pt>
                <c:pt idx="10">
                  <c:v>Β2014</c:v>
                </c:pt>
                <c:pt idx="11">
                  <c:v>Α2015</c:v>
                </c:pt>
                <c:pt idx="12">
                  <c:v>Β2015</c:v>
                </c:pt>
                <c:pt idx="13">
                  <c:v>Α2016</c:v>
                </c:pt>
                <c:pt idx="14">
                  <c:v>Β2016</c:v>
                </c:pt>
                <c:pt idx="15">
                  <c:v>Α2017</c:v>
                </c:pt>
                <c:pt idx="16">
                  <c:v>Β2017</c:v>
                </c:pt>
                <c:pt idx="17">
                  <c:v>Α2018</c:v>
                </c:pt>
                <c:pt idx="18">
                  <c:v>Β2018</c:v>
                </c:pt>
                <c:pt idx="19">
                  <c:v>Α2019</c:v>
                </c:pt>
                <c:pt idx="20">
                  <c:v>Β2019</c:v>
                </c:pt>
                <c:pt idx="21">
                  <c:v>Α2020</c:v>
                </c:pt>
                <c:pt idx="22">
                  <c:v>Β2020</c:v>
                </c:pt>
              </c:strCache>
            </c:strRef>
          </c:cat>
          <c:val>
            <c:numRef>
              <c:f>Φύλλο1!$B$2:$B$24</c:f>
              <c:numCache>
                <c:formatCode>General</c:formatCode>
                <c:ptCount val="23"/>
                <c:pt idx="0">
                  <c:v>4.9000000000000004</c:v>
                </c:pt>
                <c:pt idx="1">
                  <c:v>3.7</c:v>
                </c:pt>
                <c:pt idx="2">
                  <c:v>3.8</c:v>
                </c:pt>
                <c:pt idx="3">
                  <c:v>4.5999999999999996</c:v>
                </c:pt>
                <c:pt idx="4">
                  <c:v>5.8</c:v>
                </c:pt>
                <c:pt idx="5">
                  <c:v>6.9</c:v>
                </c:pt>
                <c:pt idx="6">
                  <c:v>5.7</c:v>
                </c:pt>
                <c:pt idx="7">
                  <c:v>9.6</c:v>
                </c:pt>
                <c:pt idx="8">
                  <c:v>6.2</c:v>
                </c:pt>
                <c:pt idx="9">
                  <c:v>8.6999999999999993</c:v>
                </c:pt>
                <c:pt idx="10">
                  <c:v>12.1</c:v>
                </c:pt>
                <c:pt idx="11">
                  <c:v>4.9000000000000004</c:v>
                </c:pt>
                <c:pt idx="12">
                  <c:v>6.8</c:v>
                </c:pt>
                <c:pt idx="13">
                  <c:v>9.1</c:v>
                </c:pt>
                <c:pt idx="14">
                  <c:v>7.7</c:v>
                </c:pt>
                <c:pt idx="15">
                  <c:v>8.1999999999999993</c:v>
                </c:pt>
                <c:pt idx="16">
                  <c:v>20.399999999999999</c:v>
                </c:pt>
                <c:pt idx="17">
                  <c:v>15.1</c:v>
                </c:pt>
                <c:pt idx="18">
                  <c:v>13</c:v>
                </c:pt>
                <c:pt idx="19" formatCode="0.0">
                  <c:v>14.88833746898263</c:v>
                </c:pt>
                <c:pt idx="20">
                  <c:v>16.2</c:v>
                </c:pt>
                <c:pt idx="21">
                  <c:v>8.6999999999999993</c:v>
                </c:pt>
                <c:pt idx="22">
                  <c:v>10.5</c:v>
                </c:pt>
              </c:numCache>
            </c:numRef>
          </c:val>
          <c:smooth val="0"/>
          <c:extLst>
            <c:ext xmlns:c16="http://schemas.microsoft.com/office/drawing/2014/chart" uri="{C3380CC4-5D6E-409C-BE32-E72D297353CC}">
              <c16:uniqueId val="{00000012-3170-4529-8CBE-17860096F5C8}"/>
            </c:ext>
          </c:extLst>
        </c:ser>
        <c:dLbls>
          <c:showLegendKey val="0"/>
          <c:showVal val="0"/>
          <c:showCatName val="0"/>
          <c:showSerName val="0"/>
          <c:showPercent val="0"/>
          <c:showBubbleSize val="0"/>
        </c:dLbls>
        <c:marker val="1"/>
        <c:smooth val="0"/>
        <c:axId val="351555968"/>
        <c:axId val="351557504"/>
      </c:lineChart>
      <c:catAx>
        <c:axId val="351555968"/>
        <c:scaling>
          <c:orientation val="minMax"/>
        </c:scaling>
        <c:delete val="0"/>
        <c:axPos val="b"/>
        <c:numFmt formatCode="General" sourceLinked="0"/>
        <c:majorTickMark val="out"/>
        <c:minorTickMark val="none"/>
        <c:tickLblPos val="nextTo"/>
        <c:txPr>
          <a:bodyPr/>
          <a:lstStyle/>
          <a:p>
            <a:pPr>
              <a:defRPr sz="700"/>
            </a:pPr>
            <a:endParaRPr lang="el-GR"/>
          </a:p>
        </c:txPr>
        <c:crossAx val="351557504"/>
        <c:crosses val="autoZero"/>
        <c:auto val="1"/>
        <c:lblAlgn val="ctr"/>
        <c:lblOffset val="100"/>
        <c:noMultiLvlLbl val="0"/>
      </c:catAx>
      <c:valAx>
        <c:axId val="351557504"/>
        <c:scaling>
          <c:orientation val="minMax"/>
        </c:scaling>
        <c:delete val="0"/>
        <c:axPos val="l"/>
        <c:majorGridlines/>
        <c:numFmt formatCode="General" sourceLinked="1"/>
        <c:majorTickMark val="out"/>
        <c:minorTickMark val="none"/>
        <c:tickLblPos val="nextTo"/>
        <c:crossAx val="351555968"/>
        <c:crosses val="autoZero"/>
        <c:crossBetween val="between"/>
      </c:valAx>
    </c:plotArea>
    <c:plotVisOnly val="1"/>
    <c:dispBlanksAs val="gap"/>
    <c:showDLblsOverMax val="0"/>
  </c:chart>
  <c:txPr>
    <a:bodyPr/>
    <a:lstStyle/>
    <a:p>
      <a:pPr>
        <a:defRPr sz="800"/>
      </a:pPr>
      <a:endParaRPr lang="el-G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511087846543614"/>
          <c:y val="5.1815130209197535E-2"/>
          <c:w val="0.7572887020838468"/>
          <c:h val="0.91781041525690943"/>
        </c:manualLayout>
      </c:layout>
      <c:barChart>
        <c:barDir val="bar"/>
        <c:grouping val="percentStacked"/>
        <c:varyColors val="0"/>
        <c:ser>
          <c:idx val="0"/>
          <c:order val="0"/>
          <c:tx>
            <c:strRef>
              <c:f>Φύλλο1!$B$1</c:f>
              <c:strCache>
                <c:ptCount val="1"/>
                <c:pt idx="0">
                  <c:v>Αυξήθηκε </c:v>
                </c:pt>
              </c:strCache>
            </c:strRef>
          </c:tx>
          <c:spPr>
            <a:solidFill>
              <a:schemeClr val="accent3">
                <a:lumMod val="75000"/>
              </a:schemeClr>
            </a:solidFill>
          </c:spPr>
          <c:invertIfNegative val="0"/>
          <c:dLbls>
            <c:dLbl>
              <c:idx val="15"/>
              <c:delete val="1"/>
              <c:extLst>
                <c:ext xmlns:c15="http://schemas.microsoft.com/office/drawing/2012/chart" uri="{CE6537A1-D6FC-4f65-9D91-7224C49458BB}"/>
                <c:ext xmlns:c16="http://schemas.microsoft.com/office/drawing/2014/chart" uri="{C3380CC4-5D6E-409C-BE32-E72D297353CC}">
                  <c16:uniqueId val="{00000018-CF57-48D2-9AA4-192E1C62F88D}"/>
                </c:ext>
              </c:extLst>
            </c:dLbl>
            <c:dLbl>
              <c:idx val="20"/>
              <c:layout>
                <c:manualLayout>
                  <c:x val="-1.2144410233970192E-2"/>
                  <c:y val="-2.2495296872730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57-48D2-9AA4-192E1C62F88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Φύλλο1!$A$2:$A$15</c:f>
              <c:strCache>
                <c:ptCount val="14"/>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strCache>
            </c:strRef>
          </c:cat>
          <c:val>
            <c:numRef>
              <c:f>Φύλλο1!$B$2:$B$15</c:f>
              <c:numCache>
                <c:formatCode>General</c:formatCode>
                <c:ptCount val="14"/>
                <c:pt idx="1">
                  <c:v>8.1</c:v>
                </c:pt>
                <c:pt idx="2">
                  <c:v>5.6</c:v>
                </c:pt>
                <c:pt idx="3">
                  <c:v>4.8</c:v>
                </c:pt>
                <c:pt idx="5">
                  <c:v>2</c:v>
                </c:pt>
                <c:pt idx="6">
                  <c:v>5.4</c:v>
                </c:pt>
                <c:pt idx="7">
                  <c:v>6.9</c:v>
                </c:pt>
                <c:pt idx="8">
                  <c:v>17.399999999999999</c:v>
                </c:pt>
                <c:pt idx="10">
                  <c:v>5.3999999999999995</c:v>
                </c:pt>
                <c:pt idx="11">
                  <c:v>5.6999999999999993</c:v>
                </c:pt>
                <c:pt idx="12">
                  <c:v>7.5</c:v>
                </c:pt>
                <c:pt idx="13">
                  <c:v>6.4</c:v>
                </c:pt>
              </c:numCache>
            </c:numRef>
          </c:val>
          <c:extLst>
            <c:ext xmlns:c16="http://schemas.microsoft.com/office/drawing/2014/chart" uri="{C3380CC4-5D6E-409C-BE32-E72D297353CC}">
              <c16:uniqueId val="{00000001-CF57-48D2-9AA4-192E1C62F88D}"/>
            </c:ext>
          </c:extLst>
        </c:ser>
        <c:ser>
          <c:idx val="1"/>
          <c:order val="1"/>
          <c:tx>
            <c:strRef>
              <c:f>Φύλλο1!$C$1</c:f>
              <c:strCache>
                <c:ptCount val="1"/>
                <c:pt idx="0">
                  <c:v>Μειώθηκε</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Φύλλο1!$A$2:$A$15</c:f>
              <c:strCache>
                <c:ptCount val="14"/>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strCache>
            </c:strRef>
          </c:cat>
          <c:val>
            <c:numRef>
              <c:f>Φύλλο1!$C$2:$C$15</c:f>
              <c:numCache>
                <c:formatCode>General</c:formatCode>
                <c:ptCount val="14"/>
                <c:pt idx="1">
                  <c:v>5.4</c:v>
                </c:pt>
                <c:pt idx="2">
                  <c:v>10.8</c:v>
                </c:pt>
                <c:pt idx="3">
                  <c:v>11.2</c:v>
                </c:pt>
                <c:pt idx="5">
                  <c:v>9</c:v>
                </c:pt>
                <c:pt idx="6">
                  <c:v>10.100000000000001</c:v>
                </c:pt>
                <c:pt idx="7">
                  <c:v>10.5</c:v>
                </c:pt>
                <c:pt idx="8">
                  <c:v>7.9</c:v>
                </c:pt>
                <c:pt idx="10">
                  <c:v>5.0999999999999996</c:v>
                </c:pt>
                <c:pt idx="11">
                  <c:v>17.399999999999999</c:v>
                </c:pt>
                <c:pt idx="12">
                  <c:v>7.4</c:v>
                </c:pt>
                <c:pt idx="13">
                  <c:v>12.3</c:v>
                </c:pt>
              </c:numCache>
            </c:numRef>
          </c:val>
          <c:extLst>
            <c:ext xmlns:c16="http://schemas.microsoft.com/office/drawing/2014/chart" uri="{C3380CC4-5D6E-409C-BE32-E72D297353CC}">
              <c16:uniqueId val="{00000002-CF57-48D2-9AA4-192E1C62F88D}"/>
            </c:ext>
          </c:extLst>
        </c:ser>
        <c:ser>
          <c:idx val="2"/>
          <c:order val="2"/>
          <c:tx>
            <c:strRef>
              <c:f>Φύλλο1!$D$1</c:f>
              <c:strCache>
                <c:ptCount val="1"/>
                <c:pt idx="0">
                  <c:v>Παρέμεινε σταθερό</c:v>
                </c:pt>
              </c:strCache>
            </c:strRef>
          </c:tx>
          <c:spPr>
            <a:solidFill>
              <a:schemeClr val="accent1">
                <a:lumMod val="75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Φύλλο1!$A$2:$A$15</c:f>
              <c:strCache>
                <c:ptCount val="14"/>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strCache>
            </c:strRef>
          </c:cat>
          <c:val>
            <c:numRef>
              <c:f>Φύλλο1!$D$2:$D$15</c:f>
              <c:numCache>
                <c:formatCode>General</c:formatCode>
                <c:ptCount val="14"/>
                <c:pt idx="1">
                  <c:v>86.5</c:v>
                </c:pt>
                <c:pt idx="2">
                  <c:v>83.5</c:v>
                </c:pt>
                <c:pt idx="3">
                  <c:v>83.3</c:v>
                </c:pt>
                <c:pt idx="5">
                  <c:v>88.8</c:v>
                </c:pt>
                <c:pt idx="6">
                  <c:v>84.6</c:v>
                </c:pt>
                <c:pt idx="7">
                  <c:v>81.7</c:v>
                </c:pt>
                <c:pt idx="8">
                  <c:v>74.599999999999994</c:v>
                </c:pt>
                <c:pt idx="10">
                  <c:v>89.4</c:v>
                </c:pt>
                <c:pt idx="11">
                  <c:v>76</c:v>
                </c:pt>
                <c:pt idx="12">
                  <c:v>84.7</c:v>
                </c:pt>
                <c:pt idx="13">
                  <c:v>81.400000000000006</c:v>
                </c:pt>
              </c:numCache>
            </c:numRef>
          </c:val>
          <c:extLst>
            <c:ext xmlns:c16="http://schemas.microsoft.com/office/drawing/2014/chart" uri="{C3380CC4-5D6E-409C-BE32-E72D297353CC}">
              <c16:uniqueId val="{00000003-CF57-48D2-9AA4-192E1C62F88D}"/>
            </c:ext>
          </c:extLst>
        </c:ser>
        <c:dLbls>
          <c:showLegendKey val="0"/>
          <c:showVal val="0"/>
          <c:showCatName val="0"/>
          <c:showSerName val="0"/>
          <c:showPercent val="0"/>
          <c:showBubbleSize val="0"/>
        </c:dLbls>
        <c:gapWidth val="30"/>
        <c:overlap val="100"/>
        <c:axId val="351639040"/>
        <c:axId val="351640576"/>
      </c:barChart>
      <c:catAx>
        <c:axId val="351639040"/>
        <c:scaling>
          <c:orientation val="maxMin"/>
        </c:scaling>
        <c:delete val="0"/>
        <c:axPos val="l"/>
        <c:numFmt formatCode="General" sourceLinked="0"/>
        <c:majorTickMark val="out"/>
        <c:minorTickMark val="none"/>
        <c:tickLblPos val="nextTo"/>
        <c:crossAx val="351640576"/>
        <c:crosses val="autoZero"/>
        <c:auto val="1"/>
        <c:lblAlgn val="ctr"/>
        <c:lblOffset val="100"/>
        <c:noMultiLvlLbl val="0"/>
      </c:catAx>
      <c:valAx>
        <c:axId val="351640576"/>
        <c:scaling>
          <c:orientation val="minMax"/>
        </c:scaling>
        <c:delete val="0"/>
        <c:axPos val="b"/>
        <c:majorGridlines/>
        <c:numFmt formatCode="0%" sourceLinked="1"/>
        <c:majorTickMark val="out"/>
        <c:minorTickMark val="none"/>
        <c:tickLblPos val="nextTo"/>
        <c:crossAx val="351639040"/>
        <c:crosses val="max"/>
        <c:crossBetween val="between"/>
      </c:valAx>
    </c:plotArea>
    <c:legend>
      <c:legendPos val="r"/>
      <c:layout>
        <c:manualLayout>
          <c:xMode val="edge"/>
          <c:yMode val="edge"/>
          <c:x val="0.21995343813991242"/>
          <c:y val="1.8591081240987887E-3"/>
          <c:w val="0.75819738122190627"/>
          <c:h val="4.5842669717794694E-2"/>
        </c:manualLayout>
      </c:layout>
      <c:overlay val="0"/>
    </c:legend>
    <c:plotVisOnly val="1"/>
    <c:dispBlanksAs val="gap"/>
    <c:showDLblsOverMax val="0"/>
  </c:chart>
  <c:txPr>
    <a:bodyPr/>
    <a:lstStyle/>
    <a:p>
      <a:pPr>
        <a:defRPr sz="8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84608733201718"/>
          <c:y val="0.10526040035955612"/>
          <c:w val="0.77812960509629525"/>
          <c:h val="0.83061961970555465"/>
        </c:manualLayout>
      </c:layout>
      <c:barChart>
        <c:barDir val="bar"/>
        <c:grouping val="percentStacked"/>
        <c:varyColors val="0"/>
        <c:ser>
          <c:idx val="0"/>
          <c:order val="0"/>
          <c:tx>
            <c:strRef>
              <c:f>Φύλλο1!$B$1</c:f>
              <c:strCache>
                <c:ptCount val="1"/>
                <c:pt idx="0">
                  <c:v>Αύξηση</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ΖΗΤΗΣΗ</c:v>
                </c:pt>
                <c:pt idx="1">
                  <c:v>ΡΕΥΣΤΟΤΗΤΑ</c:v>
                </c:pt>
                <c:pt idx="2">
                  <c:v>ΚΥΚΛΟΣ ΕΡΓΑΣΙΩΝ</c:v>
                </c:pt>
                <c:pt idx="3">
                  <c:v>ΠΑΡΑΓΓΕΛΙΕΣ</c:v>
                </c:pt>
                <c:pt idx="4">
                  <c:v>ΑΠΑΣΧΟΛΗΣΗ</c:v>
                </c:pt>
              </c:strCache>
            </c:strRef>
          </c:cat>
          <c:val>
            <c:numRef>
              <c:f>Φύλλο1!$B$2:$B$6</c:f>
              <c:numCache>
                <c:formatCode>General</c:formatCode>
                <c:ptCount val="5"/>
                <c:pt idx="0">
                  <c:v>15.6</c:v>
                </c:pt>
                <c:pt idx="1">
                  <c:v>13.1</c:v>
                </c:pt>
                <c:pt idx="2">
                  <c:v>13.1</c:v>
                </c:pt>
                <c:pt idx="3">
                  <c:v>12.4</c:v>
                </c:pt>
                <c:pt idx="4">
                  <c:v>7.4</c:v>
                </c:pt>
              </c:numCache>
            </c:numRef>
          </c:val>
          <c:extLst>
            <c:ext xmlns:c16="http://schemas.microsoft.com/office/drawing/2014/chart" uri="{C3380CC4-5D6E-409C-BE32-E72D297353CC}">
              <c16:uniqueId val="{00000000-0A2B-4336-B868-B8C1870702DE}"/>
            </c:ext>
          </c:extLst>
        </c:ser>
        <c:ser>
          <c:idx val="1"/>
          <c:order val="1"/>
          <c:tx>
            <c:strRef>
              <c:f>Φύλλο1!$C$1</c:f>
              <c:strCache>
                <c:ptCount val="1"/>
                <c:pt idx="0">
                  <c:v>Μείωση</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ΖΗΤΗΣΗ</c:v>
                </c:pt>
                <c:pt idx="1">
                  <c:v>ΡΕΥΣΤΟΤΗΤΑ</c:v>
                </c:pt>
                <c:pt idx="2">
                  <c:v>ΚΥΚΛΟΣ ΕΡΓΑΣΙΩΝ</c:v>
                </c:pt>
                <c:pt idx="3">
                  <c:v>ΠΑΡΑΓΓΕΛΙΕΣ</c:v>
                </c:pt>
                <c:pt idx="4">
                  <c:v>ΑΠΑΣΧΟΛΗΣΗ</c:v>
                </c:pt>
              </c:strCache>
            </c:strRef>
          </c:cat>
          <c:val>
            <c:numRef>
              <c:f>Φύλλο1!$C$2:$C$6</c:f>
              <c:numCache>
                <c:formatCode>General</c:formatCode>
                <c:ptCount val="5"/>
                <c:pt idx="0">
                  <c:v>52.8</c:v>
                </c:pt>
                <c:pt idx="1">
                  <c:v>56.7</c:v>
                </c:pt>
                <c:pt idx="2">
                  <c:v>53.6</c:v>
                </c:pt>
                <c:pt idx="3">
                  <c:v>54.6</c:v>
                </c:pt>
                <c:pt idx="4">
                  <c:v>3.4</c:v>
                </c:pt>
              </c:numCache>
            </c:numRef>
          </c:val>
          <c:extLst>
            <c:ext xmlns:c16="http://schemas.microsoft.com/office/drawing/2014/chart" uri="{C3380CC4-5D6E-409C-BE32-E72D297353CC}">
              <c16:uniqueId val="{00000001-0A2B-4336-B868-B8C1870702DE}"/>
            </c:ext>
          </c:extLst>
        </c:ser>
        <c:ser>
          <c:idx val="2"/>
          <c:order val="2"/>
          <c:tx>
            <c:strRef>
              <c:f>Φύλλο1!$D$1</c:f>
              <c:strCache>
                <c:ptCount val="1"/>
                <c:pt idx="0">
                  <c:v>Χωρίς μεταβολή</c:v>
                </c:pt>
              </c:strCache>
            </c:strRef>
          </c:tx>
          <c:spPr>
            <a:solidFill>
              <a:schemeClr val="accent1">
                <a:lumMod val="75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ΖΗΤΗΣΗ</c:v>
                </c:pt>
                <c:pt idx="1">
                  <c:v>ΡΕΥΣΤΟΤΗΤΑ</c:v>
                </c:pt>
                <c:pt idx="2">
                  <c:v>ΚΥΚΛΟΣ ΕΡΓΑΣΙΩΝ</c:v>
                </c:pt>
                <c:pt idx="3">
                  <c:v>ΠΑΡΑΓΓΕΛΙΕΣ</c:v>
                </c:pt>
                <c:pt idx="4">
                  <c:v>ΑΠΑΣΧΟΛΗΣΗ</c:v>
                </c:pt>
              </c:strCache>
            </c:strRef>
          </c:cat>
          <c:val>
            <c:numRef>
              <c:f>Φύλλο1!$D$2:$D$6</c:f>
              <c:numCache>
                <c:formatCode>General</c:formatCode>
                <c:ptCount val="5"/>
                <c:pt idx="0">
                  <c:v>26.3</c:v>
                </c:pt>
                <c:pt idx="1">
                  <c:v>24.6</c:v>
                </c:pt>
                <c:pt idx="2">
                  <c:v>26.8</c:v>
                </c:pt>
                <c:pt idx="3">
                  <c:v>27.1</c:v>
                </c:pt>
                <c:pt idx="4">
                  <c:v>86.1</c:v>
                </c:pt>
              </c:numCache>
            </c:numRef>
          </c:val>
          <c:extLst>
            <c:ext xmlns:c16="http://schemas.microsoft.com/office/drawing/2014/chart" uri="{C3380CC4-5D6E-409C-BE32-E72D297353CC}">
              <c16:uniqueId val="{00000002-0A2B-4336-B868-B8C1870702DE}"/>
            </c:ext>
          </c:extLst>
        </c:ser>
        <c:ser>
          <c:idx val="3"/>
          <c:order val="3"/>
          <c:tx>
            <c:strRef>
              <c:f>Φύλλο1!$E$1</c:f>
              <c:strCache>
                <c:ptCount val="1"/>
                <c:pt idx="0">
                  <c:v>ΔΑ</c:v>
                </c:pt>
              </c:strCache>
            </c:strRef>
          </c:tx>
          <c:spPr>
            <a:solidFill>
              <a:schemeClr val="tx1">
                <a:lumMod val="50000"/>
                <a:lumOff val="50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ΖΗΤΗΣΗ</c:v>
                </c:pt>
                <c:pt idx="1">
                  <c:v>ΡΕΥΣΤΟΤΗΤΑ</c:v>
                </c:pt>
                <c:pt idx="2">
                  <c:v>ΚΥΚΛΟΣ ΕΡΓΑΣΙΩΝ</c:v>
                </c:pt>
                <c:pt idx="3">
                  <c:v>ΠΑΡΑΓΓΕΛΙΕΣ</c:v>
                </c:pt>
                <c:pt idx="4">
                  <c:v>ΑΠΑΣΧΟΛΗΣΗ</c:v>
                </c:pt>
              </c:strCache>
            </c:strRef>
          </c:cat>
          <c:val>
            <c:numRef>
              <c:f>Φύλλο1!$E$2:$E$6</c:f>
              <c:numCache>
                <c:formatCode>General</c:formatCode>
                <c:ptCount val="5"/>
                <c:pt idx="0">
                  <c:v>5.3</c:v>
                </c:pt>
                <c:pt idx="1">
                  <c:v>5.6</c:v>
                </c:pt>
                <c:pt idx="2">
                  <c:v>6.5</c:v>
                </c:pt>
                <c:pt idx="3">
                  <c:v>5.9</c:v>
                </c:pt>
                <c:pt idx="4">
                  <c:v>3.1</c:v>
                </c:pt>
              </c:numCache>
            </c:numRef>
          </c:val>
          <c:extLst>
            <c:ext xmlns:c16="http://schemas.microsoft.com/office/drawing/2014/chart" uri="{C3380CC4-5D6E-409C-BE32-E72D297353CC}">
              <c16:uniqueId val="{00000003-0A2B-4336-B868-B8C1870702DE}"/>
            </c:ext>
          </c:extLst>
        </c:ser>
        <c:dLbls>
          <c:showLegendKey val="0"/>
          <c:showVal val="0"/>
          <c:showCatName val="0"/>
          <c:showSerName val="0"/>
          <c:showPercent val="0"/>
          <c:showBubbleSize val="0"/>
        </c:dLbls>
        <c:gapWidth val="50"/>
        <c:overlap val="100"/>
        <c:axId val="351748480"/>
        <c:axId val="351750016"/>
      </c:barChart>
      <c:catAx>
        <c:axId val="351748480"/>
        <c:scaling>
          <c:orientation val="maxMin"/>
        </c:scaling>
        <c:delete val="0"/>
        <c:axPos val="l"/>
        <c:numFmt formatCode="General" sourceLinked="0"/>
        <c:majorTickMark val="out"/>
        <c:minorTickMark val="none"/>
        <c:tickLblPos val="nextTo"/>
        <c:crossAx val="351750016"/>
        <c:crosses val="autoZero"/>
        <c:auto val="1"/>
        <c:lblAlgn val="ctr"/>
        <c:lblOffset val="100"/>
        <c:noMultiLvlLbl val="0"/>
      </c:catAx>
      <c:valAx>
        <c:axId val="351750016"/>
        <c:scaling>
          <c:orientation val="minMax"/>
        </c:scaling>
        <c:delete val="0"/>
        <c:axPos val="b"/>
        <c:majorGridlines/>
        <c:numFmt formatCode="0%" sourceLinked="1"/>
        <c:majorTickMark val="out"/>
        <c:minorTickMark val="none"/>
        <c:tickLblPos val="nextTo"/>
        <c:crossAx val="351748480"/>
        <c:crosses val="max"/>
        <c:crossBetween val="between"/>
      </c:valAx>
    </c:plotArea>
    <c:legend>
      <c:legendPos val="r"/>
      <c:layout>
        <c:manualLayout>
          <c:xMode val="edge"/>
          <c:yMode val="edge"/>
          <c:x val="0.21509572835722818"/>
          <c:y val="4.4615202687916827E-2"/>
          <c:w val="0.71535366682648605"/>
          <c:h val="4.2934418698222704E-2"/>
        </c:manualLayout>
      </c:layout>
      <c:overlay val="0"/>
    </c:legend>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7200059206671986E-2"/>
          <c:y val="7.7041647848881747E-2"/>
          <c:w val="0.9540362492504284"/>
          <c:h val="0.77700237594988908"/>
        </c:manualLayout>
      </c:layout>
      <c:bar3DChart>
        <c:barDir val="col"/>
        <c:grouping val="standard"/>
        <c:varyColors val="0"/>
        <c:ser>
          <c:idx val="0"/>
          <c:order val="0"/>
          <c:tx>
            <c:strRef>
              <c:f>Sheet1!$B$1</c:f>
              <c:strCache>
                <c:ptCount val="1"/>
                <c:pt idx="0">
                  <c:v>Φεβρουάριος 2021</c:v>
                </c:pt>
              </c:strCache>
            </c:strRef>
          </c:tx>
          <c:spPr>
            <a:solidFill>
              <a:schemeClr val="accent1"/>
            </a:solidFill>
            <a:ln>
              <a:noFill/>
            </a:ln>
            <a:effectLst/>
            <a:sp3d/>
          </c:spPr>
          <c:invertIfNegative val="0"/>
          <c:dLbls>
            <c:dLbl>
              <c:idx val="0"/>
              <c:layout>
                <c:manualLayout>
                  <c:x val="-1.0041613891325292E-17"/>
                  <c:y val="-3.0064590613510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5BE-492D-ACAB-39A7CCF3F0CD}"/>
                </c:ext>
              </c:extLst>
            </c:dLbl>
            <c:dLbl>
              <c:idx val="1"/>
              <c:layout>
                <c:manualLayout>
                  <c:x val="-2.1909228857249123E-3"/>
                  <c:y val="-2.7751929797086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5BE-492D-ACAB-39A7CCF3F0CD}"/>
                </c:ext>
              </c:extLst>
            </c:dLbl>
            <c:dLbl>
              <c:idx val="2"/>
              <c:layout>
                <c:manualLayout>
                  <c:x val="0"/>
                  <c:y val="-3.2377251429934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5BE-492D-ACAB-39A7CCF3F0CD}"/>
                </c:ext>
              </c:extLst>
            </c:dLbl>
            <c:dLbl>
              <c:idx val="3"/>
              <c:layout>
                <c:manualLayout>
                  <c:x val="7.6682301000371936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BE-492D-ACAB-39A7CCF3F0CD}"/>
                </c:ext>
              </c:extLst>
            </c:dLbl>
            <c:dLbl>
              <c:idx val="4"/>
              <c:layout>
                <c:manualLayout>
                  <c:x val="4.3818457714498247E-3"/>
                  <c:y val="-2.5439268980662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BE-492D-ACAB-39A7CCF3F0CD}"/>
                </c:ext>
              </c:extLst>
            </c:dLbl>
            <c:dLbl>
              <c:idx val="5"/>
              <c:layout>
                <c:manualLayout>
                  <c:x val="1.0954614428623759E-3"/>
                  <c:y val="-1.8501286531391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BE-492D-ACAB-39A7CCF3F0CD}"/>
                </c:ext>
              </c:extLst>
            </c:dLbl>
            <c:dLbl>
              <c:idx val="6"/>
              <c:layout>
                <c:manualLayout>
                  <c:x val="-1.0954614428626169E-3"/>
                  <c:y val="-1.6188625714967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5BE-492D-ACAB-39A7CCF3F0CD}"/>
                </c:ext>
              </c:extLst>
            </c:dLbl>
            <c:dLbl>
              <c:idx val="7"/>
              <c:layout>
                <c:manualLayout>
                  <c:x val="0"/>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5BE-492D-ACAB-39A7CCF3F0C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Στον πρώην ΟΑΕΕ </c:v>
                </c:pt>
                <c:pt idx="1">
                  <c:v>Στην εφορία </c:v>
                </c:pt>
                <c:pt idx="2">
                  <c:v>Σε προμηθευτές</c:v>
                </c:pt>
                <c:pt idx="3">
                  <c:v>Στις τράπεζες/ δάνεια*</c:v>
                </c:pt>
                <c:pt idx="4">
                  <c:v>Σε λογαριασμούς ενέργειες </c:v>
                </c:pt>
                <c:pt idx="5">
                  <c:v>Σε λοιπούς λογαριασμούς </c:v>
                </c:pt>
                <c:pt idx="6">
                  <c:v>Για ενοίκιο*</c:v>
                </c:pt>
                <c:pt idx="7">
                  <c:v>Στο πρώην ΙΚΑ*</c:v>
                </c:pt>
              </c:strCache>
            </c:strRef>
          </c:cat>
          <c:val>
            <c:numRef>
              <c:f>Sheet1!$B$2:$B$9</c:f>
              <c:numCache>
                <c:formatCode>General</c:formatCode>
                <c:ptCount val="8"/>
                <c:pt idx="0">
                  <c:v>26.3</c:v>
                </c:pt>
                <c:pt idx="1">
                  <c:v>23.8</c:v>
                </c:pt>
                <c:pt idx="2">
                  <c:v>22.6</c:v>
                </c:pt>
                <c:pt idx="3">
                  <c:v>32.9</c:v>
                </c:pt>
                <c:pt idx="4">
                  <c:v>20.5</c:v>
                </c:pt>
                <c:pt idx="5">
                  <c:v>16.600000000000001</c:v>
                </c:pt>
                <c:pt idx="6">
                  <c:v>23</c:v>
                </c:pt>
                <c:pt idx="7">
                  <c:v>14.9</c:v>
                </c:pt>
              </c:numCache>
            </c:numRef>
          </c:val>
          <c:extLst>
            <c:ext xmlns:c16="http://schemas.microsoft.com/office/drawing/2014/chart" uri="{C3380CC4-5D6E-409C-BE32-E72D297353CC}">
              <c16:uniqueId val="{00000008-85BE-492D-ACAB-39A7CCF3F0CD}"/>
            </c:ext>
          </c:extLst>
        </c:ser>
        <c:ser>
          <c:idx val="1"/>
          <c:order val="1"/>
          <c:tx>
            <c:strRef>
              <c:f>Sheet1!$C$1</c:f>
              <c:strCache>
                <c:ptCount val="1"/>
                <c:pt idx="0">
                  <c:v>Ιούλιος 2020</c:v>
                </c:pt>
              </c:strCache>
            </c:strRef>
          </c:tx>
          <c:spPr>
            <a:solidFill>
              <a:schemeClr val="bg1">
                <a:lumMod val="75000"/>
              </a:schemeClr>
            </a:solidFill>
            <a:ln>
              <a:noFill/>
            </a:ln>
            <a:effectLst/>
            <a:sp3d/>
          </c:spPr>
          <c:invertIfNegative val="0"/>
          <c:dLbls>
            <c:dLbl>
              <c:idx val="0"/>
              <c:layout>
                <c:manualLayout>
                  <c:x val="1.8622844528661756E-2"/>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5BE-492D-ACAB-39A7CCF3F0CD}"/>
                </c:ext>
              </c:extLst>
            </c:dLbl>
            <c:dLbl>
              <c:idx val="1"/>
              <c:layout>
                <c:manualLayout>
                  <c:x val="6.5727686571747379E-3"/>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5BE-492D-ACAB-39A7CCF3F0CD}"/>
                </c:ext>
              </c:extLst>
            </c:dLbl>
            <c:dLbl>
              <c:idx val="2"/>
              <c:layout>
                <c:manualLayout>
                  <c:x val="1.0954614428624563E-2"/>
                  <c:y val="-1.6188625714967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5BE-492D-ACAB-39A7CCF3F0CD}"/>
                </c:ext>
              </c:extLst>
            </c:dLbl>
            <c:dLbl>
              <c:idx val="3"/>
              <c:layout>
                <c:manualLayout>
                  <c:x val="1.4240998757211932E-2"/>
                  <c:y val="-2.3126608164238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5BE-492D-ACAB-39A7CCF3F0CD}"/>
                </c:ext>
              </c:extLst>
            </c:dLbl>
            <c:dLbl>
              <c:idx val="4"/>
              <c:layout>
                <c:manualLayout>
                  <c:x val="8.7636915428996494E-3"/>
                  <c:y val="-2.5439268980662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5BE-492D-ACAB-39A7CCF3F0CD}"/>
                </c:ext>
              </c:extLst>
            </c:dLbl>
            <c:dLbl>
              <c:idx val="5"/>
              <c:layout>
                <c:manualLayout>
                  <c:x val="6.5727686571748177E-3"/>
                  <c:y val="-1.8501286531391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85BE-492D-ACAB-39A7CCF3F0CD}"/>
                </c:ext>
              </c:extLst>
            </c:dLbl>
            <c:dLbl>
              <c:idx val="6"/>
              <c:layout>
                <c:manualLayout>
                  <c:x val="9.8591529857621069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85BE-492D-ACAB-39A7CCF3F0CD}"/>
                </c:ext>
              </c:extLst>
            </c:dLbl>
            <c:dLbl>
              <c:idx val="7"/>
              <c:layout>
                <c:manualLayout>
                  <c:x val="5.4773072143122813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85BE-492D-ACAB-39A7CCF3F0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Στον πρώην ΟΑΕΕ </c:v>
                </c:pt>
                <c:pt idx="1">
                  <c:v>Στην εφορία </c:v>
                </c:pt>
                <c:pt idx="2">
                  <c:v>Σε προμηθευτές</c:v>
                </c:pt>
                <c:pt idx="3">
                  <c:v>Στις τράπεζες/ δάνεια*</c:v>
                </c:pt>
                <c:pt idx="4">
                  <c:v>Σε λογαριασμούς ενέργειες </c:v>
                </c:pt>
                <c:pt idx="5">
                  <c:v>Σε λοιπούς λογαριασμούς </c:v>
                </c:pt>
                <c:pt idx="6">
                  <c:v>Για ενοίκιο*</c:v>
                </c:pt>
                <c:pt idx="7">
                  <c:v>Στο πρώην ΙΚΑ*</c:v>
                </c:pt>
              </c:strCache>
            </c:strRef>
          </c:cat>
          <c:val>
            <c:numRef>
              <c:f>Sheet1!$C$2:$C$9</c:f>
              <c:numCache>
                <c:formatCode>General</c:formatCode>
                <c:ptCount val="8"/>
                <c:pt idx="0">
                  <c:v>25.3</c:v>
                </c:pt>
                <c:pt idx="1">
                  <c:v>25.4</c:v>
                </c:pt>
                <c:pt idx="2">
                  <c:v>26.7</c:v>
                </c:pt>
                <c:pt idx="3">
                  <c:v>29.2</c:v>
                </c:pt>
                <c:pt idx="4">
                  <c:v>23.5</c:v>
                </c:pt>
                <c:pt idx="5">
                  <c:v>19.600000000000001</c:v>
                </c:pt>
                <c:pt idx="6">
                  <c:v>30</c:v>
                </c:pt>
                <c:pt idx="7">
                  <c:v>18.600000000000001</c:v>
                </c:pt>
              </c:numCache>
            </c:numRef>
          </c:val>
          <c:extLst>
            <c:ext xmlns:c16="http://schemas.microsoft.com/office/drawing/2014/chart" uri="{C3380CC4-5D6E-409C-BE32-E72D297353CC}">
              <c16:uniqueId val="{00000011-85BE-492D-ACAB-39A7CCF3F0CD}"/>
            </c:ext>
          </c:extLst>
        </c:ser>
        <c:dLbls>
          <c:showLegendKey val="0"/>
          <c:showVal val="1"/>
          <c:showCatName val="0"/>
          <c:showSerName val="0"/>
          <c:showPercent val="0"/>
          <c:showBubbleSize val="0"/>
        </c:dLbls>
        <c:gapWidth val="150"/>
        <c:shape val="box"/>
        <c:axId val="351808512"/>
        <c:axId val="351826688"/>
        <c:axId val="351738496"/>
      </c:bar3DChart>
      <c:catAx>
        <c:axId val="35180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crossAx val="351826688"/>
        <c:crosses val="autoZero"/>
        <c:auto val="1"/>
        <c:lblAlgn val="ctr"/>
        <c:lblOffset val="100"/>
        <c:noMultiLvlLbl val="0"/>
      </c:catAx>
      <c:valAx>
        <c:axId val="35182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crossAx val="351808512"/>
        <c:crosses val="autoZero"/>
        <c:crossBetween val="between"/>
      </c:valAx>
      <c:serAx>
        <c:axId val="351738496"/>
        <c:scaling>
          <c:orientation val="minMax"/>
        </c:scaling>
        <c:delete val="1"/>
        <c:axPos val="b"/>
        <c:majorTickMark val="none"/>
        <c:minorTickMark val="none"/>
        <c:tickLblPos val="nextTo"/>
        <c:crossAx val="351826688"/>
        <c:crosses val="autoZero"/>
      </c:serAx>
      <c:spPr>
        <a:noFill/>
        <a:ln>
          <a:noFill/>
        </a:ln>
        <a:effectLst/>
      </c:spPr>
    </c:plotArea>
    <c:legend>
      <c:legendPos val="b"/>
      <c:layout>
        <c:manualLayout>
          <c:xMode val="edge"/>
          <c:yMode val="edge"/>
          <c:x val="0.20034347996798044"/>
          <c:y val="2.9767377609010628E-2"/>
          <c:w val="0.55511415344438741"/>
          <c:h val="7.719448098912823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3.7200059206671986E-2"/>
          <c:y val="7.7041647848881747E-2"/>
          <c:w val="0.9540362492504284"/>
          <c:h val="0.77700237594988908"/>
        </c:manualLayout>
      </c:layout>
      <c:bar3DChart>
        <c:barDir val="col"/>
        <c:grouping val="standard"/>
        <c:varyColors val="0"/>
        <c:ser>
          <c:idx val="0"/>
          <c:order val="0"/>
          <c:tx>
            <c:strRef>
              <c:f>Sheet1!$B$1</c:f>
              <c:strCache>
                <c:ptCount val="1"/>
                <c:pt idx="0">
                  <c:v>Φεβρουάριος 2021</c:v>
                </c:pt>
              </c:strCache>
            </c:strRef>
          </c:tx>
          <c:spPr>
            <a:solidFill>
              <a:schemeClr val="accent1"/>
            </a:solidFill>
            <a:ln>
              <a:noFill/>
            </a:ln>
            <a:effectLst/>
            <a:sp3d/>
          </c:spPr>
          <c:invertIfNegative val="0"/>
          <c:dLbls>
            <c:dLbl>
              <c:idx val="0"/>
              <c:layout>
                <c:manualLayout>
                  <c:x val="-1.0041613891325292E-17"/>
                  <c:y val="-3.0064590613510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18-4B9D-8D1A-30706378BCA2}"/>
                </c:ext>
              </c:extLst>
            </c:dLbl>
            <c:dLbl>
              <c:idx val="1"/>
              <c:layout>
                <c:manualLayout>
                  <c:x val="-2.1909228857249123E-3"/>
                  <c:y val="-2.77519297970867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C18-4B9D-8D1A-30706378BCA2}"/>
                </c:ext>
              </c:extLst>
            </c:dLbl>
            <c:dLbl>
              <c:idx val="2"/>
              <c:layout>
                <c:manualLayout>
                  <c:x val="0"/>
                  <c:y val="-3.23772514299346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18-4B9D-8D1A-30706378BCA2}"/>
                </c:ext>
              </c:extLst>
            </c:dLbl>
            <c:dLbl>
              <c:idx val="3"/>
              <c:layout>
                <c:manualLayout>
                  <c:x val="7.6682301000371936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18-4B9D-8D1A-30706378BCA2}"/>
                </c:ext>
              </c:extLst>
            </c:dLbl>
            <c:dLbl>
              <c:idx val="4"/>
              <c:layout>
                <c:manualLayout>
                  <c:x val="4.3818457714498247E-3"/>
                  <c:y val="-2.5439268980662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18-4B9D-8D1A-30706378BCA2}"/>
                </c:ext>
              </c:extLst>
            </c:dLbl>
            <c:dLbl>
              <c:idx val="5"/>
              <c:layout>
                <c:manualLayout>
                  <c:x val="1.0954614428623759E-3"/>
                  <c:y val="-1.8501286531391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18-4B9D-8D1A-30706378BCA2}"/>
                </c:ext>
              </c:extLst>
            </c:dLbl>
            <c:dLbl>
              <c:idx val="6"/>
              <c:layout>
                <c:manualLayout>
                  <c:x val="-1.0954614428626169E-3"/>
                  <c:y val="-1.61886257149672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18-4B9D-8D1A-30706378BCA2}"/>
                </c:ext>
              </c:extLst>
            </c:dLbl>
            <c:dLbl>
              <c:idx val="7"/>
              <c:layout>
                <c:manualLayout>
                  <c:x val="0"/>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18-4B9D-8D1A-30706378BCA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Στον πρώην ΟΑΕΕ </c:v>
                </c:pt>
                <c:pt idx="1">
                  <c:v>Στην εφορία </c:v>
                </c:pt>
                <c:pt idx="2">
                  <c:v>Σε προμηθευτές</c:v>
                </c:pt>
                <c:pt idx="3">
                  <c:v>Στις τράπεζες/ δάνεια*</c:v>
                </c:pt>
                <c:pt idx="4">
                  <c:v>Σε λογαριασμούς ενέργειες </c:v>
                </c:pt>
                <c:pt idx="5">
                  <c:v>Σε λοιπούς λογαριασμούς </c:v>
                </c:pt>
                <c:pt idx="6">
                  <c:v>Για ενοίκιο*</c:v>
                </c:pt>
                <c:pt idx="7">
                  <c:v>Στο πρώην ΙΚΑ*</c:v>
                </c:pt>
              </c:strCache>
            </c:strRef>
          </c:cat>
          <c:val>
            <c:numRef>
              <c:f>Sheet1!$B$2:$B$9</c:f>
              <c:numCache>
                <c:formatCode>General</c:formatCode>
                <c:ptCount val="8"/>
                <c:pt idx="0">
                  <c:v>31.3</c:v>
                </c:pt>
                <c:pt idx="1">
                  <c:v>30.1</c:v>
                </c:pt>
                <c:pt idx="2">
                  <c:v>26.6</c:v>
                </c:pt>
                <c:pt idx="3">
                  <c:v>44.6</c:v>
                </c:pt>
                <c:pt idx="4">
                  <c:v>26.3</c:v>
                </c:pt>
                <c:pt idx="5">
                  <c:v>25.1</c:v>
                </c:pt>
                <c:pt idx="6">
                  <c:v>35.200000000000003</c:v>
                </c:pt>
                <c:pt idx="7">
                  <c:v>24.2</c:v>
                </c:pt>
              </c:numCache>
            </c:numRef>
          </c:val>
          <c:extLst>
            <c:ext xmlns:c16="http://schemas.microsoft.com/office/drawing/2014/chart" uri="{C3380CC4-5D6E-409C-BE32-E72D297353CC}">
              <c16:uniqueId val="{00000008-4C18-4B9D-8D1A-30706378BCA2}"/>
            </c:ext>
          </c:extLst>
        </c:ser>
        <c:ser>
          <c:idx val="1"/>
          <c:order val="1"/>
          <c:tx>
            <c:strRef>
              <c:f>Sheet1!$C$1</c:f>
              <c:strCache>
                <c:ptCount val="1"/>
                <c:pt idx="0">
                  <c:v>Ιούλιος 2020</c:v>
                </c:pt>
              </c:strCache>
            </c:strRef>
          </c:tx>
          <c:spPr>
            <a:solidFill>
              <a:schemeClr val="bg1">
                <a:lumMod val="75000"/>
              </a:schemeClr>
            </a:solidFill>
            <a:ln>
              <a:noFill/>
            </a:ln>
            <a:effectLst/>
            <a:sp3d/>
          </c:spPr>
          <c:invertIfNegative val="0"/>
          <c:dLbls>
            <c:dLbl>
              <c:idx val="0"/>
              <c:layout>
                <c:manualLayout>
                  <c:x val="1.8622844528661756E-2"/>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18-4B9D-8D1A-30706378BCA2}"/>
                </c:ext>
              </c:extLst>
            </c:dLbl>
            <c:dLbl>
              <c:idx val="1"/>
              <c:layout>
                <c:manualLayout>
                  <c:x val="6.5727686571747379E-3"/>
                  <c:y val="-2.3126608164238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C18-4B9D-8D1A-30706378BCA2}"/>
                </c:ext>
              </c:extLst>
            </c:dLbl>
            <c:dLbl>
              <c:idx val="2"/>
              <c:layout>
                <c:manualLayout>
                  <c:x val="1.0954614428624563E-2"/>
                  <c:y val="-1.6188625714967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18-4B9D-8D1A-30706378BCA2}"/>
                </c:ext>
              </c:extLst>
            </c:dLbl>
            <c:dLbl>
              <c:idx val="3"/>
              <c:layout>
                <c:manualLayout>
                  <c:x val="1.4240998757211932E-2"/>
                  <c:y val="-2.31266081642389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C18-4B9D-8D1A-30706378BCA2}"/>
                </c:ext>
              </c:extLst>
            </c:dLbl>
            <c:dLbl>
              <c:idx val="4"/>
              <c:layout>
                <c:manualLayout>
                  <c:x val="8.7636915428996494E-3"/>
                  <c:y val="-2.54392689806628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C18-4B9D-8D1A-30706378BCA2}"/>
                </c:ext>
              </c:extLst>
            </c:dLbl>
            <c:dLbl>
              <c:idx val="5"/>
              <c:layout>
                <c:manualLayout>
                  <c:x val="6.5727686571748177E-3"/>
                  <c:y val="-1.85012865313911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C18-4B9D-8D1A-30706378BCA2}"/>
                </c:ext>
              </c:extLst>
            </c:dLbl>
            <c:dLbl>
              <c:idx val="6"/>
              <c:layout>
                <c:manualLayout>
                  <c:x val="9.8591529857621069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4C18-4B9D-8D1A-30706378BCA2}"/>
                </c:ext>
              </c:extLst>
            </c:dLbl>
            <c:dLbl>
              <c:idx val="7"/>
              <c:layout>
                <c:manualLayout>
                  <c:x val="5.4773072143122813E-3"/>
                  <c:y val="-2.0813947347815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C18-4B9D-8D1A-30706378BC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Στον πρώην ΟΑΕΕ </c:v>
                </c:pt>
                <c:pt idx="1">
                  <c:v>Στην εφορία </c:v>
                </c:pt>
                <c:pt idx="2">
                  <c:v>Σε προμηθευτές</c:v>
                </c:pt>
                <c:pt idx="3">
                  <c:v>Στις τράπεζες/ δάνεια*</c:v>
                </c:pt>
                <c:pt idx="4">
                  <c:v>Σε λογαριασμούς ενέργειες </c:v>
                </c:pt>
                <c:pt idx="5">
                  <c:v>Σε λοιπούς λογαριασμούς </c:v>
                </c:pt>
                <c:pt idx="6">
                  <c:v>Για ενοίκιο*</c:v>
                </c:pt>
                <c:pt idx="7">
                  <c:v>Στο πρώην ΙΚΑ*</c:v>
                </c:pt>
              </c:strCache>
            </c:strRef>
          </c:cat>
          <c:val>
            <c:numRef>
              <c:f>Sheet1!$C$2:$C$9</c:f>
              <c:numCache>
                <c:formatCode>General</c:formatCode>
                <c:ptCount val="8"/>
                <c:pt idx="0">
                  <c:v>21.9</c:v>
                </c:pt>
                <c:pt idx="1">
                  <c:v>22.2</c:v>
                </c:pt>
                <c:pt idx="2">
                  <c:v>19.899999999999999</c:v>
                </c:pt>
                <c:pt idx="3">
                  <c:v>23.9</c:v>
                </c:pt>
                <c:pt idx="4">
                  <c:v>20.2</c:v>
                </c:pt>
                <c:pt idx="5">
                  <c:v>19.7</c:v>
                </c:pt>
                <c:pt idx="6">
                  <c:v>24.8</c:v>
                </c:pt>
                <c:pt idx="7">
                  <c:v>17.5</c:v>
                </c:pt>
              </c:numCache>
            </c:numRef>
          </c:val>
          <c:extLst>
            <c:ext xmlns:c16="http://schemas.microsoft.com/office/drawing/2014/chart" uri="{C3380CC4-5D6E-409C-BE32-E72D297353CC}">
              <c16:uniqueId val="{00000011-4C18-4B9D-8D1A-30706378BCA2}"/>
            </c:ext>
          </c:extLst>
        </c:ser>
        <c:dLbls>
          <c:showLegendKey val="0"/>
          <c:showVal val="1"/>
          <c:showCatName val="0"/>
          <c:showSerName val="0"/>
          <c:showPercent val="0"/>
          <c:showBubbleSize val="0"/>
        </c:dLbls>
        <c:gapWidth val="150"/>
        <c:shape val="box"/>
        <c:axId val="353074176"/>
        <c:axId val="353080064"/>
        <c:axId val="353046976"/>
      </c:bar3DChart>
      <c:catAx>
        <c:axId val="353074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crossAx val="353080064"/>
        <c:crosses val="autoZero"/>
        <c:auto val="1"/>
        <c:lblAlgn val="ctr"/>
        <c:lblOffset val="100"/>
        <c:noMultiLvlLbl val="0"/>
      </c:catAx>
      <c:valAx>
        <c:axId val="35308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crossAx val="353074176"/>
        <c:crosses val="autoZero"/>
        <c:crossBetween val="between"/>
      </c:valAx>
      <c:serAx>
        <c:axId val="353046976"/>
        <c:scaling>
          <c:orientation val="minMax"/>
        </c:scaling>
        <c:delete val="1"/>
        <c:axPos val="b"/>
        <c:majorTickMark val="none"/>
        <c:minorTickMark val="none"/>
        <c:tickLblPos val="nextTo"/>
        <c:crossAx val="353080064"/>
        <c:crosses val="autoZero"/>
      </c:serAx>
      <c:spPr>
        <a:noFill/>
        <a:ln>
          <a:noFill/>
        </a:ln>
        <a:effectLst/>
      </c:spPr>
    </c:plotArea>
    <c:legend>
      <c:legendPos val="b"/>
      <c:layout>
        <c:manualLayout>
          <c:xMode val="edge"/>
          <c:yMode val="edge"/>
          <c:x val="0.20034347996798044"/>
          <c:y val="2.9767377609010628E-2"/>
          <c:w val="0.55511415344438741"/>
          <c:h val="7.719448098912823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000"/>
              <a:t>ΓΡΑΦΗΜΑ</a:t>
            </a:r>
            <a:r>
              <a:rPr lang="el-GR" sz="1000" baseline="0"/>
              <a:t> </a:t>
            </a:r>
            <a:r>
              <a:rPr lang="en-US" sz="1000" baseline="0"/>
              <a:t>16</a:t>
            </a:r>
            <a:endParaRPr lang="el-GR" sz="1000" baseline="0"/>
          </a:p>
          <a:p>
            <a:pPr>
              <a:defRPr sz="1200"/>
            </a:pPr>
            <a:r>
              <a:rPr lang="el-GR" sz="1000"/>
              <a:t>ΦΟΒΟΣ ΓΙΑ ΕΝΔΕΧΟΜΕΝΟ ΚΛΕΙΣΙΜΟ ΤΗΣ ΕΠΙΧΕΙΡΗΣΗΣ</a:t>
            </a:r>
          </a:p>
          <a:p>
            <a:pPr>
              <a:defRPr sz="1200"/>
            </a:pPr>
            <a:r>
              <a:rPr lang="el-GR" sz="1000"/>
              <a:t>ΣΥΓΚΡΙΤΙΚΟ ΓΡΑΦΗΜΑ ΙΟΥΛΙΟΣ 2019 – ΦΕΒΡΟΥΑΡΙΟΣ 2021</a:t>
            </a:r>
          </a:p>
        </c:rich>
      </c:tx>
      <c:layout>
        <c:manualLayout>
          <c:xMode val="edge"/>
          <c:yMode val="edge"/>
          <c:x val="0.22665680947854694"/>
          <c:y val="0"/>
        </c:manualLayout>
      </c:layout>
      <c:overlay val="0"/>
    </c:title>
    <c:autoTitleDeleted val="0"/>
    <c:plotArea>
      <c:layout>
        <c:manualLayout>
          <c:layoutTarget val="inner"/>
          <c:xMode val="edge"/>
          <c:yMode val="edge"/>
          <c:x val="3.9367181375055391E-2"/>
          <c:y val="0.1206415495531413"/>
          <c:w val="0.95138248218706201"/>
          <c:h val="0.78909664772916033"/>
        </c:manualLayout>
      </c:layout>
      <c:barChart>
        <c:barDir val="col"/>
        <c:grouping val="clustered"/>
        <c:varyColors val="0"/>
        <c:ser>
          <c:idx val="0"/>
          <c:order val="0"/>
          <c:tx>
            <c:strRef>
              <c:f>Φύλλο1!$B$1</c:f>
              <c:strCache>
                <c:ptCount val="1"/>
                <c:pt idx="0">
                  <c:v>ΦΟΒΟΣ ΓΙΑ ΕΝΔΕΧΟΜΕΝΟ ΚΛΕΙΣΙΜΟ ΤΗΣ ΕΠΙΧΕΙΡΗΣΗΣ - ΣΥΓΚΡΙΤΙΚΟ ΓΡΑΦΗΜΑ ΙΟΥΛΙΟΣ 2019 – ΙΟΥΝΙΟΣ 2020</c:v>
                </c:pt>
              </c:strCache>
            </c:strRef>
          </c:tx>
          <c:spPr>
            <a:solidFill>
              <a:schemeClr val="accent3">
                <a:lumMod val="60000"/>
                <a:lumOff val="40000"/>
              </a:schemeClr>
            </a:solidFill>
          </c:spPr>
          <c:invertIfNegative val="0"/>
          <c:dPt>
            <c:idx val="0"/>
            <c:invertIfNegative val="0"/>
            <c:bubble3D val="0"/>
            <c:spPr>
              <a:solidFill>
                <a:srgbClr val="F79747"/>
              </a:solidFill>
            </c:spPr>
            <c:extLst>
              <c:ext xmlns:c16="http://schemas.microsoft.com/office/drawing/2014/chart" uri="{C3380CC4-5D6E-409C-BE32-E72D297353CC}">
                <c16:uniqueId val="{00000012-7EA3-4FF6-B323-8EBEF1926541}"/>
              </c:ext>
            </c:extLst>
          </c:dPt>
          <c:dPt>
            <c:idx val="1"/>
            <c:invertIfNegative val="0"/>
            <c:bubble3D val="0"/>
            <c:spPr>
              <a:solidFill>
                <a:srgbClr val="A1A1A1"/>
              </a:solidFill>
            </c:spPr>
            <c:extLst>
              <c:ext xmlns:c16="http://schemas.microsoft.com/office/drawing/2014/chart" uri="{C3380CC4-5D6E-409C-BE32-E72D297353CC}">
                <c16:uniqueId val="{00000000-A5A2-4480-B2F1-527D556345EE}"/>
              </c:ext>
            </c:extLst>
          </c:dPt>
          <c:dPt>
            <c:idx val="2"/>
            <c:invertIfNegative val="0"/>
            <c:bubble3D val="0"/>
            <c:spPr>
              <a:solidFill>
                <a:srgbClr val="F79747"/>
              </a:solidFill>
            </c:spPr>
            <c:extLst>
              <c:ext xmlns:c16="http://schemas.microsoft.com/office/drawing/2014/chart" uri="{C3380CC4-5D6E-409C-BE32-E72D297353CC}">
                <c16:uniqueId val="{00000013-7EA3-4FF6-B323-8EBEF1926541}"/>
              </c:ext>
            </c:extLst>
          </c:dPt>
          <c:dPt>
            <c:idx val="3"/>
            <c:invertIfNegative val="0"/>
            <c:bubble3D val="0"/>
            <c:spPr>
              <a:solidFill>
                <a:srgbClr val="A1A1A1"/>
              </a:solidFill>
            </c:spPr>
            <c:extLst>
              <c:ext xmlns:c16="http://schemas.microsoft.com/office/drawing/2014/chart" uri="{C3380CC4-5D6E-409C-BE32-E72D297353CC}">
                <c16:uniqueId val="{00000001-A5A2-4480-B2F1-527D556345EE}"/>
              </c:ext>
            </c:extLst>
          </c:dPt>
          <c:dPt>
            <c:idx val="4"/>
            <c:invertIfNegative val="0"/>
            <c:bubble3D val="0"/>
            <c:spPr>
              <a:solidFill>
                <a:srgbClr val="F79747"/>
              </a:solidFill>
            </c:spPr>
            <c:extLst>
              <c:ext xmlns:c16="http://schemas.microsoft.com/office/drawing/2014/chart" uri="{C3380CC4-5D6E-409C-BE32-E72D297353CC}">
                <c16:uniqueId val="{00000014-7EA3-4FF6-B323-8EBEF1926541}"/>
              </c:ext>
            </c:extLst>
          </c:dPt>
          <c:dPt>
            <c:idx val="5"/>
            <c:invertIfNegative val="0"/>
            <c:bubble3D val="0"/>
            <c:spPr>
              <a:solidFill>
                <a:srgbClr val="A1A1A1"/>
              </a:solidFill>
            </c:spPr>
            <c:extLst>
              <c:ext xmlns:c16="http://schemas.microsoft.com/office/drawing/2014/chart" uri="{C3380CC4-5D6E-409C-BE32-E72D297353CC}">
                <c16:uniqueId val="{00000002-A5A2-4480-B2F1-527D556345EE}"/>
              </c:ext>
            </c:extLst>
          </c:dPt>
          <c:dPt>
            <c:idx val="6"/>
            <c:invertIfNegative val="0"/>
            <c:bubble3D val="0"/>
            <c:spPr>
              <a:solidFill>
                <a:srgbClr val="F79747"/>
              </a:solidFill>
            </c:spPr>
            <c:extLst>
              <c:ext xmlns:c16="http://schemas.microsoft.com/office/drawing/2014/chart" uri="{C3380CC4-5D6E-409C-BE32-E72D297353CC}">
                <c16:uniqueId val="{00000015-7EA3-4FF6-B323-8EBEF1926541}"/>
              </c:ext>
            </c:extLst>
          </c:dPt>
          <c:dPt>
            <c:idx val="7"/>
            <c:invertIfNegative val="0"/>
            <c:bubble3D val="0"/>
            <c:spPr>
              <a:solidFill>
                <a:srgbClr val="A1A1A1"/>
              </a:solidFill>
            </c:spPr>
            <c:extLst>
              <c:ext xmlns:c16="http://schemas.microsoft.com/office/drawing/2014/chart" uri="{C3380CC4-5D6E-409C-BE32-E72D297353CC}">
                <c16:uniqueId val="{00000003-A5A2-4480-B2F1-527D556345EE}"/>
              </c:ext>
            </c:extLst>
          </c:dPt>
          <c:dPt>
            <c:idx val="8"/>
            <c:invertIfNegative val="0"/>
            <c:bubble3D val="0"/>
            <c:spPr>
              <a:solidFill>
                <a:srgbClr val="F79747"/>
              </a:solidFill>
            </c:spPr>
            <c:extLst>
              <c:ext xmlns:c16="http://schemas.microsoft.com/office/drawing/2014/chart" uri="{C3380CC4-5D6E-409C-BE32-E72D297353CC}">
                <c16:uniqueId val="{00000016-7EA3-4FF6-B323-8EBEF1926541}"/>
              </c:ext>
            </c:extLst>
          </c:dPt>
          <c:dPt>
            <c:idx val="9"/>
            <c:invertIfNegative val="0"/>
            <c:bubble3D val="0"/>
            <c:spPr>
              <a:solidFill>
                <a:srgbClr val="A1A1A1"/>
              </a:solidFill>
            </c:spPr>
            <c:extLst>
              <c:ext xmlns:c16="http://schemas.microsoft.com/office/drawing/2014/chart" uri="{C3380CC4-5D6E-409C-BE32-E72D297353CC}">
                <c16:uniqueId val="{00000004-A5A2-4480-B2F1-527D556345EE}"/>
              </c:ext>
            </c:extLst>
          </c:dPt>
          <c:dPt>
            <c:idx val="10"/>
            <c:invertIfNegative val="0"/>
            <c:bubble3D val="0"/>
            <c:spPr>
              <a:solidFill>
                <a:srgbClr val="F79747"/>
              </a:solidFill>
            </c:spPr>
            <c:extLst>
              <c:ext xmlns:c16="http://schemas.microsoft.com/office/drawing/2014/chart" uri="{C3380CC4-5D6E-409C-BE32-E72D297353CC}">
                <c16:uniqueId val="{00000017-7EA3-4FF6-B323-8EBEF1926541}"/>
              </c:ext>
            </c:extLst>
          </c:dPt>
          <c:dPt>
            <c:idx val="11"/>
            <c:invertIfNegative val="0"/>
            <c:bubble3D val="0"/>
            <c:spPr>
              <a:solidFill>
                <a:srgbClr val="A1A1A1"/>
              </a:solidFill>
            </c:spPr>
            <c:extLst>
              <c:ext xmlns:c16="http://schemas.microsoft.com/office/drawing/2014/chart" uri="{C3380CC4-5D6E-409C-BE32-E72D297353CC}">
                <c16:uniqueId val="{00000005-A5A2-4480-B2F1-527D556345EE}"/>
              </c:ext>
            </c:extLst>
          </c:dPt>
          <c:dPt>
            <c:idx val="12"/>
            <c:invertIfNegative val="0"/>
            <c:bubble3D val="0"/>
            <c:spPr>
              <a:solidFill>
                <a:srgbClr val="F79747"/>
              </a:solidFill>
            </c:spPr>
            <c:extLst>
              <c:ext xmlns:c16="http://schemas.microsoft.com/office/drawing/2014/chart" uri="{C3380CC4-5D6E-409C-BE32-E72D297353CC}">
                <c16:uniqueId val="{00000018-7EA3-4FF6-B323-8EBEF1926541}"/>
              </c:ext>
            </c:extLst>
          </c:dPt>
          <c:dPt>
            <c:idx val="13"/>
            <c:invertIfNegative val="0"/>
            <c:bubble3D val="0"/>
            <c:spPr>
              <a:solidFill>
                <a:srgbClr val="A1A1A1"/>
              </a:solidFill>
            </c:spPr>
            <c:extLst>
              <c:ext xmlns:c16="http://schemas.microsoft.com/office/drawing/2014/chart" uri="{C3380CC4-5D6E-409C-BE32-E72D297353CC}">
                <c16:uniqueId val="{00000006-A5A2-4480-B2F1-527D556345EE}"/>
              </c:ext>
            </c:extLst>
          </c:dPt>
          <c:dPt>
            <c:idx val="14"/>
            <c:invertIfNegative val="0"/>
            <c:bubble3D val="0"/>
            <c:spPr>
              <a:solidFill>
                <a:srgbClr val="F79747"/>
              </a:solidFill>
            </c:spPr>
            <c:extLst>
              <c:ext xmlns:c16="http://schemas.microsoft.com/office/drawing/2014/chart" uri="{C3380CC4-5D6E-409C-BE32-E72D297353CC}">
                <c16:uniqueId val="{00000019-7EA3-4FF6-B323-8EBEF1926541}"/>
              </c:ext>
            </c:extLst>
          </c:dPt>
          <c:dPt>
            <c:idx val="15"/>
            <c:invertIfNegative val="0"/>
            <c:bubble3D val="0"/>
            <c:spPr>
              <a:solidFill>
                <a:srgbClr val="A1A1A1"/>
              </a:solidFill>
            </c:spPr>
            <c:extLst>
              <c:ext xmlns:c16="http://schemas.microsoft.com/office/drawing/2014/chart" uri="{C3380CC4-5D6E-409C-BE32-E72D297353CC}">
                <c16:uniqueId val="{00000007-A5A2-4480-B2F1-527D556345EE}"/>
              </c:ext>
            </c:extLst>
          </c:dPt>
          <c:dPt>
            <c:idx val="16"/>
            <c:invertIfNegative val="0"/>
            <c:bubble3D val="0"/>
            <c:spPr>
              <a:solidFill>
                <a:srgbClr val="F79747"/>
              </a:solidFill>
            </c:spPr>
            <c:extLst>
              <c:ext xmlns:c16="http://schemas.microsoft.com/office/drawing/2014/chart" uri="{C3380CC4-5D6E-409C-BE32-E72D297353CC}">
                <c16:uniqueId val="{0000001A-7EA3-4FF6-B323-8EBEF1926541}"/>
              </c:ext>
            </c:extLst>
          </c:dPt>
          <c:dPt>
            <c:idx val="17"/>
            <c:invertIfNegative val="0"/>
            <c:bubble3D val="0"/>
            <c:spPr>
              <a:solidFill>
                <a:srgbClr val="A1A1A1"/>
              </a:solidFill>
            </c:spPr>
            <c:extLst>
              <c:ext xmlns:c16="http://schemas.microsoft.com/office/drawing/2014/chart" uri="{C3380CC4-5D6E-409C-BE32-E72D297353CC}">
                <c16:uniqueId val="{00000010-DDE4-4E09-96A3-A375C73FE945}"/>
              </c:ext>
            </c:extLst>
          </c:dPt>
          <c:dPt>
            <c:idx val="18"/>
            <c:invertIfNegative val="0"/>
            <c:bubble3D val="0"/>
            <c:spPr>
              <a:solidFill>
                <a:srgbClr val="F79747"/>
              </a:solidFill>
            </c:spPr>
            <c:extLst>
              <c:ext xmlns:c16="http://schemas.microsoft.com/office/drawing/2014/chart" uri="{C3380CC4-5D6E-409C-BE32-E72D297353CC}">
                <c16:uniqueId val="{0000001B-7EA3-4FF6-B323-8EBEF1926541}"/>
              </c:ext>
            </c:extLst>
          </c:dPt>
          <c:dPt>
            <c:idx val="19"/>
            <c:invertIfNegative val="0"/>
            <c:bubble3D val="0"/>
            <c:spPr>
              <a:solidFill>
                <a:srgbClr val="A1A1A1"/>
              </a:solidFill>
            </c:spPr>
            <c:extLst>
              <c:ext xmlns:c16="http://schemas.microsoft.com/office/drawing/2014/chart" uri="{C3380CC4-5D6E-409C-BE32-E72D297353CC}">
                <c16:uniqueId val="{00000027-05CE-41F7-B654-F0F6FFC46C85}"/>
              </c:ext>
            </c:extLst>
          </c:dPt>
          <c:dLbls>
            <c:spPr>
              <a:noFill/>
              <a:ln>
                <a:noFill/>
              </a:ln>
              <a:effectLst/>
            </c:spPr>
            <c:txPr>
              <a:bodyPr/>
              <a:lstStyle/>
              <a:p>
                <a:pPr>
                  <a:defRPr sz="1000">
                    <a:latin typeface="Calibri" panose="020F0502020204030204" pitchFamily="34" charset="0"/>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Φύλλο1!$A$2:$A$5</c:f>
              <c:strCache>
                <c:ptCount val="4"/>
                <c:pt idx="0">
                  <c:v>ΙΟΥΛ. 2019</c:v>
                </c:pt>
                <c:pt idx="1">
                  <c:v>ΦΕΒΡ. 2020</c:v>
                </c:pt>
                <c:pt idx="2">
                  <c:v>ΙΟΥΛ. 2020</c:v>
                </c:pt>
                <c:pt idx="3">
                  <c:v>ΦΕΒΡ. 2021</c:v>
                </c:pt>
              </c:strCache>
            </c:strRef>
          </c:cat>
          <c:val>
            <c:numRef>
              <c:f>Φύλλο1!$B$2:$B$5</c:f>
              <c:numCache>
                <c:formatCode>0.0</c:formatCode>
                <c:ptCount val="4"/>
                <c:pt idx="0">
                  <c:v>24.1</c:v>
                </c:pt>
                <c:pt idx="1">
                  <c:v>20.9</c:v>
                </c:pt>
                <c:pt idx="2">
                  <c:v>32.700000000000003</c:v>
                </c:pt>
                <c:pt idx="3">
                  <c:v>38.200000000000003</c:v>
                </c:pt>
              </c:numCache>
            </c:numRef>
          </c:val>
          <c:extLst>
            <c:ext xmlns:c16="http://schemas.microsoft.com/office/drawing/2014/chart" uri="{C3380CC4-5D6E-409C-BE32-E72D297353CC}">
              <c16:uniqueId val="{00000008-A5A2-4480-B2F1-527D556345EE}"/>
            </c:ext>
          </c:extLst>
        </c:ser>
        <c:dLbls>
          <c:showLegendKey val="0"/>
          <c:showVal val="0"/>
          <c:showCatName val="0"/>
          <c:showSerName val="0"/>
          <c:showPercent val="0"/>
          <c:showBubbleSize val="0"/>
        </c:dLbls>
        <c:gapWidth val="75"/>
        <c:axId val="371554560"/>
        <c:axId val="371560448"/>
      </c:barChart>
      <c:catAx>
        <c:axId val="371554560"/>
        <c:scaling>
          <c:orientation val="minMax"/>
        </c:scaling>
        <c:delete val="0"/>
        <c:axPos val="b"/>
        <c:numFmt formatCode="General" sourceLinked="0"/>
        <c:majorTickMark val="out"/>
        <c:minorTickMark val="none"/>
        <c:tickLblPos val="nextTo"/>
        <c:txPr>
          <a:bodyPr/>
          <a:lstStyle/>
          <a:p>
            <a:pPr>
              <a:defRPr sz="800">
                <a:latin typeface="Calibri" panose="020F0502020204030204" pitchFamily="34" charset="0"/>
              </a:defRPr>
            </a:pPr>
            <a:endParaRPr lang="el-GR"/>
          </a:p>
        </c:txPr>
        <c:crossAx val="371560448"/>
        <c:crosses val="autoZero"/>
        <c:auto val="1"/>
        <c:lblAlgn val="ctr"/>
        <c:lblOffset val="100"/>
        <c:noMultiLvlLbl val="0"/>
      </c:catAx>
      <c:valAx>
        <c:axId val="371560448"/>
        <c:scaling>
          <c:orientation val="minMax"/>
        </c:scaling>
        <c:delete val="1"/>
        <c:axPos val="l"/>
        <c:majorGridlines/>
        <c:numFmt formatCode="0.0" sourceLinked="1"/>
        <c:majorTickMark val="out"/>
        <c:minorTickMark val="none"/>
        <c:tickLblPos val="nextTo"/>
        <c:crossAx val="371554560"/>
        <c:crosses val="autoZero"/>
        <c:crossBetween val="between"/>
      </c:valAx>
      <c:spPr>
        <a:ln>
          <a:solidFill>
            <a:schemeClr val="tx1"/>
          </a:solidFill>
        </a:ln>
      </c:spPr>
    </c:plotArea>
    <c:plotVisOnly val="1"/>
    <c:dispBlanksAs val="gap"/>
    <c:showDLblsOverMax val="0"/>
  </c:chart>
  <c:txPr>
    <a:bodyPr/>
    <a:lstStyle/>
    <a:p>
      <a:pPr>
        <a:defRPr sz="1800"/>
      </a:pPr>
      <a:endParaRPr lang="el-G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25000000000001"/>
          <c:y val="0.14687500000000001"/>
          <c:w val="0.47534490826548548"/>
          <c:h val="0.64401547225940814"/>
        </c:manualLayout>
      </c:layout>
      <c:doughnutChart>
        <c:varyColors val="1"/>
        <c:ser>
          <c:idx val="0"/>
          <c:order val="0"/>
          <c:tx>
            <c:strRef>
              <c:f>Φύλλο1!$B$1</c:f>
              <c:strCache>
                <c:ptCount val="1"/>
                <c:pt idx="0">
                  <c:v>Πωλήσεις</c:v>
                </c:pt>
              </c:strCache>
            </c:strRef>
          </c:tx>
          <c:spPr>
            <a:ln>
              <a:solidFill>
                <a:schemeClr val="bg1"/>
              </a:solidFill>
            </a:ln>
          </c:spPr>
          <c:dPt>
            <c:idx val="0"/>
            <c:bubble3D val="0"/>
            <c:spPr>
              <a:solidFill>
                <a:schemeClr val="accent2">
                  <a:lumMod val="75000"/>
                </a:schemeClr>
              </a:solidFill>
              <a:ln>
                <a:solidFill>
                  <a:schemeClr val="bg1"/>
                </a:solidFill>
              </a:ln>
            </c:spPr>
            <c:extLst>
              <c:ext xmlns:c16="http://schemas.microsoft.com/office/drawing/2014/chart" uri="{C3380CC4-5D6E-409C-BE32-E72D297353CC}">
                <c16:uniqueId val="{00000001-DF12-4FFE-B047-6EA6F44BB478}"/>
              </c:ext>
            </c:extLst>
          </c:dPt>
          <c:dPt>
            <c:idx val="1"/>
            <c:bubble3D val="0"/>
            <c:spPr>
              <a:solidFill>
                <a:schemeClr val="accent2">
                  <a:lumMod val="60000"/>
                  <a:lumOff val="40000"/>
                </a:schemeClr>
              </a:solidFill>
              <a:ln>
                <a:solidFill>
                  <a:schemeClr val="bg1"/>
                </a:solidFill>
              </a:ln>
            </c:spPr>
            <c:extLst>
              <c:ext xmlns:c16="http://schemas.microsoft.com/office/drawing/2014/chart" uri="{C3380CC4-5D6E-409C-BE32-E72D297353CC}">
                <c16:uniqueId val="{00000003-DF12-4FFE-B047-6EA6F44BB478}"/>
              </c:ext>
            </c:extLst>
          </c:dPt>
          <c:dPt>
            <c:idx val="2"/>
            <c:bubble3D val="0"/>
            <c:spPr>
              <a:solidFill>
                <a:schemeClr val="accent3">
                  <a:lumMod val="75000"/>
                </a:schemeClr>
              </a:solidFill>
              <a:ln>
                <a:solidFill>
                  <a:schemeClr val="bg1"/>
                </a:solidFill>
              </a:ln>
            </c:spPr>
            <c:extLst>
              <c:ext xmlns:c16="http://schemas.microsoft.com/office/drawing/2014/chart" uri="{C3380CC4-5D6E-409C-BE32-E72D297353CC}">
                <c16:uniqueId val="{00000005-DF12-4FFE-B047-6EA6F44BB478}"/>
              </c:ext>
            </c:extLst>
          </c:dPt>
          <c:dPt>
            <c:idx val="3"/>
            <c:bubble3D val="0"/>
            <c:spPr>
              <a:solidFill>
                <a:schemeClr val="accent3">
                  <a:lumMod val="50000"/>
                </a:schemeClr>
              </a:solidFill>
              <a:ln>
                <a:solidFill>
                  <a:schemeClr val="bg1"/>
                </a:solidFill>
              </a:ln>
            </c:spPr>
            <c:extLst>
              <c:ext xmlns:c16="http://schemas.microsoft.com/office/drawing/2014/chart" uri="{C3380CC4-5D6E-409C-BE32-E72D297353CC}">
                <c16:uniqueId val="{00000007-DF12-4FFE-B047-6EA6F44BB478}"/>
              </c:ext>
            </c:extLst>
          </c:dPt>
          <c:dPt>
            <c:idx val="4"/>
            <c:bubble3D val="0"/>
            <c:spPr>
              <a:solidFill>
                <a:schemeClr val="tx1">
                  <a:lumMod val="50000"/>
                  <a:lumOff val="50000"/>
                </a:schemeClr>
              </a:solidFill>
              <a:ln>
                <a:solidFill>
                  <a:schemeClr val="bg1"/>
                </a:solidFill>
              </a:ln>
            </c:spPr>
            <c:extLst>
              <c:ext xmlns:c16="http://schemas.microsoft.com/office/drawing/2014/chart" uri="{C3380CC4-5D6E-409C-BE32-E72D297353CC}">
                <c16:uniqueId val="{00000009-DF12-4FFE-B047-6EA6F44BB478}"/>
              </c:ext>
            </c:extLst>
          </c:dPt>
          <c:dLbls>
            <c:dLbl>
              <c:idx val="0"/>
              <c:layout>
                <c:manualLayout>
                  <c:x val="5.7973069148368493E-2"/>
                  <c:y val="-0.1216098285294808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F12-4FFE-B047-6EA6F44BB478}"/>
                </c:ext>
              </c:extLst>
            </c:dLbl>
            <c:dLbl>
              <c:idx val="1"/>
              <c:layout>
                <c:manualLayout>
                  <c:x val="0.16340000984342801"/>
                  <c:y val="7.3057922856503178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F12-4FFE-B047-6EA6F44BB478}"/>
                </c:ext>
              </c:extLst>
            </c:dLbl>
            <c:dLbl>
              <c:idx val="2"/>
              <c:layout>
                <c:manualLayout>
                  <c:x val="6.1880157608543616E-2"/>
                  <c:y val="0.14130947759739579"/>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F12-4FFE-B047-6EA6F44BB478}"/>
                </c:ext>
              </c:extLst>
            </c:dLbl>
            <c:dLbl>
              <c:idx val="3"/>
              <c:layout>
                <c:manualLayout>
                  <c:x val="-0.16528686636858134"/>
                  <c:y val="-2.7830103584964315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DF12-4FFE-B047-6EA6F44BB478}"/>
                </c:ext>
              </c:extLst>
            </c:dLbl>
            <c:dLbl>
              <c:idx val="4"/>
              <c:layout>
                <c:manualLayout>
                  <c:x val="-1.2500023681164386E-2"/>
                  <c:y val="-0.1411768807620456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DF12-4FFE-B047-6EA6F44BB478}"/>
                </c:ext>
              </c:extLst>
            </c:dLbl>
            <c:spPr>
              <a:noFill/>
              <a:ln>
                <a:noFill/>
              </a:ln>
              <a:effectLst/>
            </c:sp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Φύλλο1!$A$2:$A$6</c:f>
              <c:strCache>
                <c:ptCount val="5"/>
                <c:pt idx="0">
                  <c:v>Πολύ πιθανό</c:v>
                </c:pt>
                <c:pt idx="1">
                  <c:v>Αρκετά πιθανό</c:v>
                </c:pt>
                <c:pt idx="2">
                  <c:v>Ελάχιστα πιθανό</c:v>
                </c:pt>
                <c:pt idx="3">
                  <c:v>Καθόλου πιθανό</c:v>
                </c:pt>
                <c:pt idx="4">
                  <c:v>ΔΓ/ΔΑ</c:v>
                </c:pt>
              </c:strCache>
            </c:strRef>
          </c:cat>
          <c:val>
            <c:numRef>
              <c:f>Φύλλο1!$B$2:$B$6</c:f>
              <c:numCache>
                <c:formatCode>General</c:formatCode>
                <c:ptCount val="5"/>
                <c:pt idx="0">
                  <c:v>14.6</c:v>
                </c:pt>
                <c:pt idx="1">
                  <c:v>23.6</c:v>
                </c:pt>
                <c:pt idx="2">
                  <c:v>20.7</c:v>
                </c:pt>
                <c:pt idx="3">
                  <c:v>38.200000000000003</c:v>
                </c:pt>
                <c:pt idx="4">
                  <c:v>2.9</c:v>
                </c:pt>
              </c:numCache>
            </c:numRef>
          </c:val>
          <c:extLst>
            <c:ext xmlns:c16="http://schemas.microsoft.com/office/drawing/2014/chart" uri="{C3380CC4-5D6E-409C-BE32-E72D297353CC}">
              <c16:uniqueId val="{0000000A-DF12-4FFE-B047-6EA6F44BB478}"/>
            </c:ext>
          </c:extLst>
        </c:ser>
        <c:dLbls>
          <c:showLegendKey val="0"/>
          <c:showVal val="0"/>
          <c:showCatName val="0"/>
          <c:showSerName val="0"/>
          <c:showPercent val="0"/>
          <c:showBubbleSize val="0"/>
          <c:showLeaderLines val="0"/>
        </c:dLbls>
        <c:firstSliceAng val="0"/>
        <c:holeSize val="50"/>
      </c:doughnutChart>
    </c:plotArea>
    <c:plotVisOnly val="1"/>
    <c:dispBlanksAs val="zero"/>
    <c:showDLblsOverMax val="0"/>
  </c:chart>
  <c:txPr>
    <a:bodyPr/>
    <a:lstStyle/>
    <a:p>
      <a:pPr>
        <a:defRPr sz="10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499610106214614"/>
          <c:y val="7.5004705111813078E-2"/>
          <c:w val="0.73672919990022068"/>
          <c:h val="0.8585479374384144"/>
        </c:manualLayout>
      </c:layout>
      <c:barChart>
        <c:barDir val="bar"/>
        <c:grouping val="percentStacked"/>
        <c:varyColors val="0"/>
        <c:ser>
          <c:idx val="0"/>
          <c:order val="0"/>
          <c:tx>
            <c:strRef>
              <c:f>Φύλλο1!$B$1</c:f>
              <c:strCache>
                <c:ptCount val="1"/>
                <c:pt idx="0">
                  <c:v>Ναι</c:v>
                </c:pt>
              </c:strCache>
            </c:strRef>
          </c:tx>
          <c:spPr>
            <a:solidFill>
              <a:srgbClr val="37609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Αναστείλατε συμβάσεις εργασίας;</c:v>
                </c:pt>
                <c:pt idx="1">
                  <c:v>Εντάξατε το προσωπικό σας ή μέρος του προσωπικού σας στο πρόγραμμα ΣΥΝ-ΕΡΓΑΣΙΑ;</c:v>
                </c:pt>
                <c:pt idx="2">
                  <c:v>Υπήρξε προσωπικό που εργάστηκε με καθεστώς τηλεργασίας; </c:v>
                </c:pt>
                <c:pt idx="3">
                  <c:v>Κάνατε χρήση κάποιου προγράμματος του ΟΑΕΔ για δημιουργία νέων θέσεων εργασίας ;</c:v>
                </c:pt>
                <c:pt idx="4">
                  <c:v>Κάνατε χρήση του προγράμματος δημιουργίας 100.000 νέων θέσεων εργασίας;</c:v>
                </c:pt>
              </c:strCache>
            </c:strRef>
          </c:cat>
          <c:val>
            <c:numRef>
              <c:f>Φύλλο1!$B$2:$B$6</c:f>
              <c:numCache>
                <c:formatCode>General</c:formatCode>
                <c:ptCount val="5"/>
                <c:pt idx="0">
                  <c:v>55.6</c:v>
                </c:pt>
                <c:pt idx="1">
                  <c:v>13.3</c:v>
                </c:pt>
                <c:pt idx="2">
                  <c:v>12.6</c:v>
                </c:pt>
                <c:pt idx="3">
                  <c:v>4.3</c:v>
                </c:pt>
                <c:pt idx="4">
                  <c:v>3</c:v>
                </c:pt>
              </c:numCache>
            </c:numRef>
          </c:val>
          <c:extLst>
            <c:ext xmlns:c16="http://schemas.microsoft.com/office/drawing/2014/chart" uri="{C3380CC4-5D6E-409C-BE32-E72D297353CC}">
              <c16:uniqueId val="{00000000-B3E4-417C-8C0B-B5EBAB101188}"/>
            </c:ext>
          </c:extLst>
        </c:ser>
        <c:ser>
          <c:idx val="1"/>
          <c:order val="1"/>
          <c:tx>
            <c:strRef>
              <c:f>Φύλλο1!$C$1</c:f>
              <c:strCache>
                <c:ptCount val="1"/>
                <c:pt idx="0">
                  <c:v>Όχι</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Αναστείλατε συμβάσεις εργασίας;</c:v>
                </c:pt>
                <c:pt idx="1">
                  <c:v>Εντάξατε το προσωπικό σας ή μέρος του προσωπικού σας στο πρόγραμμα ΣΥΝ-ΕΡΓΑΣΙΑ;</c:v>
                </c:pt>
                <c:pt idx="2">
                  <c:v>Υπήρξε προσωπικό που εργάστηκε με καθεστώς τηλεργασίας; </c:v>
                </c:pt>
                <c:pt idx="3">
                  <c:v>Κάνατε χρήση κάποιου προγράμματος του ΟΑΕΔ για δημιουργία νέων θέσεων εργασίας ;</c:v>
                </c:pt>
                <c:pt idx="4">
                  <c:v>Κάνατε χρήση του προγράμματος δημιουργίας 100.000 νέων θέσεων εργασίας;</c:v>
                </c:pt>
              </c:strCache>
            </c:strRef>
          </c:cat>
          <c:val>
            <c:numRef>
              <c:f>Φύλλο1!$C$2:$C$6</c:f>
              <c:numCache>
                <c:formatCode>General</c:formatCode>
                <c:ptCount val="5"/>
                <c:pt idx="0">
                  <c:v>43.6</c:v>
                </c:pt>
                <c:pt idx="1">
                  <c:v>82.8</c:v>
                </c:pt>
                <c:pt idx="2">
                  <c:v>86.5</c:v>
                </c:pt>
                <c:pt idx="3">
                  <c:v>94.6</c:v>
                </c:pt>
                <c:pt idx="4">
                  <c:v>94.8</c:v>
                </c:pt>
              </c:numCache>
            </c:numRef>
          </c:val>
          <c:extLst>
            <c:ext xmlns:c16="http://schemas.microsoft.com/office/drawing/2014/chart" uri="{C3380CC4-5D6E-409C-BE32-E72D297353CC}">
              <c16:uniqueId val="{00000001-B3E4-417C-8C0B-B5EBAB101188}"/>
            </c:ext>
          </c:extLst>
        </c:ser>
        <c:ser>
          <c:idx val="2"/>
          <c:order val="2"/>
          <c:tx>
            <c:strRef>
              <c:f>Φύλλο1!$D$1</c:f>
              <c:strCache>
                <c:ptCount val="1"/>
                <c:pt idx="0">
                  <c:v>Δ.Α</c:v>
                </c:pt>
              </c:strCache>
            </c:strRef>
          </c:tx>
          <c:spPr>
            <a:solidFill>
              <a:schemeClr val="tx1">
                <a:lumMod val="50000"/>
                <a:lumOff val="50000"/>
              </a:schemeClr>
            </a:solidFill>
            <a:ln>
              <a:noFill/>
            </a:ln>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Φύλλο1!$A$2:$A$6</c:f>
              <c:strCache>
                <c:ptCount val="5"/>
                <c:pt idx="0">
                  <c:v>Αναστείλατε συμβάσεις εργασίας;</c:v>
                </c:pt>
                <c:pt idx="1">
                  <c:v>Εντάξατε το προσωπικό σας ή μέρος του προσωπικού σας στο πρόγραμμα ΣΥΝ-ΕΡΓΑΣΙΑ;</c:v>
                </c:pt>
                <c:pt idx="2">
                  <c:v>Υπήρξε προσωπικό που εργάστηκε με καθεστώς τηλεργασίας; </c:v>
                </c:pt>
                <c:pt idx="3">
                  <c:v>Κάνατε χρήση κάποιου προγράμματος του ΟΑΕΔ για δημιουργία νέων θέσεων εργασίας ;</c:v>
                </c:pt>
                <c:pt idx="4">
                  <c:v>Κάνατε χρήση του προγράμματος δημιουργίας 100.000 νέων θέσεων εργασίας;</c:v>
                </c:pt>
              </c:strCache>
            </c:strRef>
          </c:cat>
          <c:val>
            <c:numRef>
              <c:f>Φύλλο1!$D$2:$D$6</c:f>
              <c:numCache>
                <c:formatCode>General</c:formatCode>
                <c:ptCount val="5"/>
                <c:pt idx="0">
                  <c:v>0.7</c:v>
                </c:pt>
                <c:pt idx="1">
                  <c:v>3.9</c:v>
                </c:pt>
                <c:pt idx="2">
                  <c:v>0.9</c:v>
                </c:pt>
                <c:pt idx="3">
                  <c:v>1.1000000000000001</c:v>
                </c:pt>
                <c:pt idx="4">
                  <c:v>2.2000000000000002</c:v>
                </c:pt>
              </c:numCache>
            </c:numRef>
          </c:val>
          <c:extLst>
            <c:ext xmlns:c16="http://schemas.microsoft.com/office/drawing/2014/chart" uri="{C3380CC4-5D6E-409C-BE32-E72D297353CC}">
              <c16:uniqueId val="{00000002-B3E4-417C-8C0B-B5EBAB101188}"/>
            </c:ext>
          </c:extLst>
        </c:ser>
        <c:dLbls>
          <c:showLegendKey val="0"/>
          <c:showVal val="0"/>
          <c:showCatName val="0"/>
          <c:showSerName val="0"/>
          <c:showPercent val="0"/>
          <c:showBubbleSize val="0"/>
        </c:dLbls>
        <c:gapWidth val="50"/>
        <c:overlap val="100"/>
        <c:axId val="373185536"/>
        <c:axId val="373199616"/>
      </c:barChart>
      <c:catAx>
        <c:axId val="373185536"/>
        <c:scaling>
          <c:orientation val="maxMin"/>
        </c:scaling>
        <c:delete val="0"/>
        <c:axPos val="l"/>
        <c:numFmt formatCode="General" sourceLinked="0"/>
        <c:majorTickMark val="out"/>
        <c:minorTickMark val="none"/>
        <c:tickLblPos val="nextTo"/>
        <c:crossAx val="373199616"/>
        <c:crosses val="autoZero"/>
        <c:auto val="1"/>
        <c:lblAlgn val="ctr"/>
        <c:lblOffset val="100"/>
        <c:noMultiLvlLbl val="0"/>
      </c:catAx>
      <c:valAx>
        <c:axId val="373199616"/>
        <c:scaling>
          <c:orientation val="minMax"/>
        </c:scaling>
        <c:delete val="0"/>
        <c:axPos val="b"/>
        <c:majorGridlines/>
        <c:numFmt formatCode="0%" sourceLinked="1"/>
        <c:majorTickMark val="out"/>
        <c:minorTickMark val="none"/>
        <c:tickLblPos val="nextTo"/>
        <c:crossAx val="373185536"/>
        <c:crosses val="max"/>
        <c:crossBetween val="between"/>
      </c:valAx>
    </c:plotArea>
    <c:legend>
      <c:legendPos val="r"/>
      <c:layout>
        <c:manualLayout>
          <c:xMode val="edge"/>
          <c:yMode val="edge"/>
          <c:x val="0.27412349392347385"/>
          <c:y val="2.3669048940676379E-2"/>
          <c:w val="0.66327029276441285"/>
          <c:h val="4.2934418698222704E-2"/>
        </c:manualLayout>
      </c:layout>
      <c:overlay val="0"/>
    </c:legend>
    <c:plotVisOnly val="1"/>
    <c:dispBlanksAs val="gap"/>
    <c:showDLblsOverMax val="0"/>
  </c:chart>
  <c:txPr>
    <a:bodyPr/>
    <a:lstStyle/>
    <a:p>
      <a:pPr>
        <a:defRPr sz="8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l-GR"/>
              <a:t>ΔΕΙΚΤΗΣ ΟΙΚΟΝΟΜΙΚΟΥ ΚΛΙΜΑΤΟΣ ΜΜΕ </a:t>
            </a:r>
            <a:r>
              <a:rPr lang="el-GR" baseline="0"/>
              <a:t> </a:t>
            </a:r>
            <a:endParaRPr lang="el-GR"/>
          </a:p>
        </c:rich>
      </c:tx>
      <c:overlay val="0"/>
      <c:spPr>
        <a:noFill/>
        <a:ln>
          <a:noFill/>
        </a:ln>
        <a:effectLst/>
      </c:spPr>
    </c:title>
    <c:autoTitleDeleted val="0"/>
    <c:plotArea>
      <c:layout/>
      <c:lineChart>
        <c:grouping val="standard"/>
        <c:varyColors val="0"/>
        <c:ser>
          <c:idx val="1"/>
          <c:order val="0"/>
          <c:tx>
            <c:strRef>
              <c:f>'ΚΑΤΑΣΤΑΣΗ ΕΠΙΧΕΙΡΗΣΗΣ ΜΕΘ.Ε '!$A$4</c:f>
              <c:strCache>
                <c:ptCount val="1"/>
                <c:pt idx="0">
                  <c:v>ΕΛΛΑΔΑ</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l-G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'ΚΑΤΑΣΤΑΣΗ ΕΠΙΧΕΙΡΗΣΗΣ ΜΕΘ.Ε '!$B$3:$U$3</c:f>
              <c:strCache>
                <c:ptCount val="20"/>
                <c:pt idx="0">
                  <c:v>2011Α</c:v>
                </c:pt>
                <c:pt idx="1">
                  <c:v>2011Β</c:v>
                </c:pt>
                <c:pt idx="2">
                  <c:v>2012Α</c:v>
                </c:pt>
                <c:pt idx="3">
                  <c:v>2012Β</c:v>
                </c:pt>
                <c:pt idx="4">
                  <c:v>2013Α</c:v>
                </c:pt>
                <c:pt idx="5">
                  <c:v>2013Β</c:v>
                </c:pt>
                <c:pt idx="6">
                  <c:v>2014Α</c:v>
                </c:pt>
                <c:pt idx="7">
                  <c:v>2014Β</c:v>
                </c:pt>
                <c:pt idx="8">
                  <c:v>2015Α</c:v>
                </c:pt>
                <c:pt idx="9">
                  <c:v>2015Β</c:v>
                </c:pt>
                <c:pt idx="10">
                  <c:v>2016Α</c:v>
                </c:pt>
                <c:pt idx="11">
                  <c:v>2016Β</c:v>
                </c:pt>
                <c:pt idx="12">
                  <c:v>2017Α</c:v>
                </c:pt>
                <c:pt idx="13">
                  <c:v>2017Β</c:v>
                </c:pt>
                <c:pt idx="14">
                  <c:v>2018Α</c:v>
                </c:pt>
                <c:pt idx="15">
                  <c:v>2018Β</c:v>
                </c:pt>
                <c:pt idx="16">
                  <c:v>2019A</c:v>
                </c:pt>
                <c:pt idx="17">
                  <c:v>2019Β</c:v>
                </c:pt>
                <c:pt idx="18">
                  <c:v>2020Α</c:v>
                </c:pt>
                <c:pt idx="19">
                  <c:v>2020Β</c:v>
                </c:pt>
              </c:strCache>
            </c:strRef>
          </c:cat>
          <c:val>
            <c:numRef>
              <c:f>'ΚΑΤΑΣΤΑΣΗ ΕΠΙΧΕΙΡΗΣΗΣ ΜΕΘ.Ε '!$B$4:$U$4</c:f>
              <c:numCache>
                <c:formatCode>0.0</c:formatCode>
                <c:ptCount val="20"/>
                <c:pt idx="0">
                  <c:v>18.455366098294874</c:v>
                </c:pt>
                <c:pt idx="1">
                  <c:v>12.612612612612622</c:v>
                </c:pt>
                <c:pt idx="2">
                  <c:v>11.723446893787553</c:v>
                </c:pt>
                <c:pt idx="3">
                  <c:v>17.917917917917919</c:v>
                </c:pt>
                <c:pt idx="4">
                  <c:v>24.599999999999994</c:v>
                </c:pt>
                <c:pt idx="5">
                  <c:v>29.700000000000003</c:v>
                </c:pt>
                <c:pt idx="6">
                  <c:v>35.170340681362731</c:v>
                </c:pt>
                <c:pt idx="7">
                  <c:v>41.341341341341348</c:v>
                </c:pt>
                <c:pt idx="8">
                  <c:v>15.700000000000003</c:v>
                </c:pt>
                <c:pt idx="9">
                  <c:v>24.924924924924923</c:v>
                </c:pt>
                <c:pt idx="10">
                  <c:v>30.799999999999997</c:v>
                </c:pt>
                <c:pt idx="11">
                  <c:v>30.992978936810417</c:v>
                </c:pt>
                <c:pt idx="12">
                  <c:v>41.482965931863724</c:v>
                </c:pt>
                <c:pt idx="13">
                  <c:v>46.666666666666664</c:v>
                </c:pt>
                <c:pt idx="14">
                  <c:v>52.958876629889673</c:v>
                </c:pt>
                <c:pt idx="15">
                  <c:v>58.758758758758759</c:v>
                </c:pt>
                <c:pt idx="16">
                  <c:v>61.933534743202422</c:v>
                </c:pt>
                <c:pt idx="17">
                  <c:v>66.365461847389554</c:v>
                </c:pt>
                <c:pt idx="18">
                  <c:v>20.100000000000001</c:v>
                </c:pt>
                <c:pt idx="19">
                  <c:v>20.100000000000001</c:v>
                </c:pt>
              </c:numCache>
            </c:numRef>
          </c:val>
          <c:smooth val="0"/>
          <c:extLst>
            <c:ext xmlns:c16="http://schemas.microsoft.com/office/drawing/2014/chart" uri="{C3380CC4-5D6E-409C-BE32-E72D297353CC}">
              <c16:uniqueId val="{00000001-B6F4-43B1-8FB8-1EE9694EE3D3}"/>
            </c:ext>
          </c:extLst>
        </c:ser>
        <c:dLbls>
          <c:showLegendKey val="0"/>
          <c:showVal val="0"/>
          <c:showCatName val="0"/>
          <c:showSerName val="0"/>
          <c:showPercent val="0"/>
          <c:showBubbleSize val="0"/>
        </c:dLbls>
        <c:marker val="1"/>
        <c:smooth val="0"/>
        <c:axId val="241859968"/>
        <c:axId val="348386432"/>
      </c:lineChart>
      <c:catAx>
        <c:axId val="241859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el-GR"/>
          </a:p>
        </c:txPr>
        <c:crossAx val="348386432"/>
        <c:crosses val="autoZero"/>
        <c:auto val="1"/>
        <c:lblAlgn val="ctr"/>
        <c:lblOffset val="100"/>
        <c:noMultiLvlLbl val="0"/>
      </c:catAx>
      <c:valAx>
        <c:axId val="348386432"/>
        <c:scaling>
          <c:orientation val="minMax"/>
          <c:max val="80"/>
        </c:scaling>
        <c:delete val="0"/>
        <c:axPos val="l"/>
        <c:numFmt formatCode="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41859968"/>
        <c:crosses val="autoZero"/>
        <c:crossBetween val="between"/>
        <c:majorUnit val="10"/>
      </c:valAx>
      <c:spPr>
        <a:noFill/>
        <a:ln w="25400">
          <a:noFill/>
        </a:ln>
        <a:effectLst/>
      </c:spPr>
    </c:plotArea>
    <c:legend>
      <c:legendPos val="t"/>
      <c:overlay val="0"/>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7884608733201718"/>
          <c:y val="0.10526040035955612"/>
          <c:w val="0.77812960509629525"/>
          <c:h val="0.83061961970555465"/>
        </c:manualLayout>
      </c:layout>
      <c:barChart>
        <c:barDir val="bar"/>
        <c:grouping val="percentStacked"/>
        <c:varyColors val="0"/>
        <c:ser>
          <c:idx val="0"/>
          <c:order val="0"/>
          <c:tx>
            <c:strRef>
              <c:f>Φύλλο1!$B$1</c:f>
              <c:strCache>
                <c:ptCount val="1"/>
                <c:pt idx="0">
                  <c:v>Ναι</c:v>
                </c:pt>
              </c:strCache>
            </c:strRef>
          </c:tx>
          <c:spPr>
            <a:solidFill>
              <a:srgbClr val="4F6228"/>
            </a:solidFill>
          </c:spPr>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Φύλλο1!$A$2:$A$5</c:f>
              <c:strCache>
                <c:ptCount val="4"/>
                <c:pt idx="0">
                  <c:v>Επιστρεπτέες προκαταβολές</c:v>
                </c:pt>
                <c:pt idx="1">
                  <c:v>Μείωση ενοικίου</c:v>
                </c:pt>
                <c:pt idx="2">
                  <c:v>Αναστολή φορολογικών υποχρεώσεων</c:v>
                </c:pt>
                <c:pt idx="3">
                  <c:v>Αναστολή επιταγών για 75 ημέρες</c:v>
                </c:pt>
              </c:strCache>
            </c:strRef>
          </c:cat>
          <c:val>
            <c:numRef>
              <c:f>Φύλλο1!$B$2:$B$5</c:f>
              <c:numCache>
                <c:formatCode>General</c:formatCode>
                <c:ptCount val="4"/>
                <c:pt idx="0">
                  <c:v>63.7</c:v>
                </c:pt>
                <c:pt idx="1">
                  <c:v>38.799999999999997</c:v>
                </c:pt>
                <c:pt idx="2">
                  <c:v>22.5</c:v>
                </c:pt>
                <c:pt idx="3">
                  <c:v>9.5</c:v>
                </c:pt>
              </c:numCache>
            </c:numRef>
          </c:val>
          <c:extLst>
            <c:ext xmlns:c16="http://schemas.microsoft.com/office/drawing/2014/chart" uri="{C3380CC4-5D6E-409C-BE32-E72D297353CC}">
              <c16:uniqueId val="{00000000-DD70-428F-8E76-515FF0B97A91}"/>
            </c:ext>
          </c:extLst>
        </c:ser>
        <c:ser>
          <c:idx val="1"/>
          <c:order val="1"/>
          <c:tx>
            <c:strRef>
              <c:f>Φύλλο1!$C$1</c:f>
              <c:strCache>
                <c:ptCount val="1"/>
                <c:pt idx="0">
                  <c:v>Όχι</c:v>
                </c:pt>
              </c:strCache>
            </c:strRef>
          </c:tx>
          <c:spPr>
            <a:solidFill>
              <a:schemeClr val="accent2">
                <a:lumMod val="75000"/>
              </a:schemeClr>
            </a:solidFill>
          </c:spPr>
          <c:invertIfNegative val="0"/>
          <c:dLbls>
            <c:spPr>
              <a:noFill/>
              <a:ln>
                <a:noFill/>
              </a:ln>
              <a:effectLst/>
            </c:spPr>
            <c:txPr>
              <a:bodyPr/>
              <a:lstStyle/>
              <a:p>
                <a:pPr algn="ctr">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Φύλλο1!$A$2:$A$5</c:f>
              <c:strCache>
                <c:ptCount val="4"/>
                <c:pt idx="0">
                  <c:v>Επιστρεπτέες προκαταβολές</c:v>
                </c:pt>
                <c:pt idx="1">
                  <c:v>Μείωση ενοικίου</c:v>
                </c:pt>
                <c:pt idx="2">
                  <c:v>Αναστολή φορολογικών υποχρεώσεων</c:v>
                </c:pt>
                <c:pt idx="3">
                  <c:v>Αναστολή επιταγών για 75 ημέρες</c:v>
                </c:pt>
              </c:strCache>
            </c:strRef>
          </c:cat>
          <c:val>
            <c:numRef>
              <c:f>Φύλλο1!$C$2:$C$5</c:f>
              <c:numCache>
                <c:formatCode>General</c:formatCode>
                <c:ptCount val="4"/>
                <c:pt idx="0">
                  <c:v>35.200000000000003</c:v>
                </c:pt>
                <c:pt idx="1">
                  <c:v>50.9</c:v>
                </c:pt>
                <c:pt idx="2">
                  <c:v>75.3</c:v>
                </c:pt>
                <c:pt idx="3">
                  <c:v>88.4</c:v>
                </c:pt>
              </c:numCache>
            </c:numRef>
          </c:val>
          <c:extLst>
            <c:ext xmlns:c16="http://schemas.microsoft.com/office/drawing/2014/chart" uri="{C3380CC4-5D6E-409C-BE32-E72D297353CC}">
              <c16:uniqueId val="{00000001-DD70-428F-8E76-515FF0B97A91}"/>
            </c:ext>
          </c:extLst>
        </c:ser>
        <c:ser>
          <c:idx val="2"/>
          <c:order val="2"/>
          <c:tx>
            <c:strRef>
              <c:f>Φύλλο1!$D$1</c:f>
              <c:strCache>
                <c:ptCount val="1"/>
                <c:pt idx="0">
                  <c:v>ΔΑ</c:v>
                </c:pt>
              </c:strCache>
            </c:strRef>
          </c:tx>
          <c:spPr>
            <a:solidFill>
              <a:schemeClr val="tx1">
                <a:lumMod val="50000"/>
                <a:lumOff val="50000"/>
              </a:schemeClr>
            </a:solidFill>
          </c:spPr>
          <c:invertIfNegative val="0"/>
          <c:dLbls>
            <c:dLbl>
              <c:idx val="0"/>
              <c:layout>
                <c:manualLayout>
                  <c:x val="-7.0832313143521326E-3"/>
                  <c:y val="-2.556076700012374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70-428F-8E76-515FF0B97A91}"/>
                </c:ext>
              </c:extLst>
            </c:dLbl>
            <c:spPr>
              <a:noFill/>
              <a:ln>
                <a:noFill/>
              </a:ln>
              <a:effectLst/>
            </c:spPr>
            <c:txPr>
              <a:bodyPr/>
              <a:lstStyle/>
              <a:p>
                <a:pPr algn="ctr">
                  <a:defRPr/>
                </a:pPr>
                <a:endParaRPr lang="el-G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Φύλλο1!$A$2:$A$5</c:f>
              <c:strCache>
                <c:ptCount val="4"/>
                <c:pt idx="0">
                  <c:v>Επιστρεπτέες προκαταβολές</c:v>
                </c:pt>
                <c:pt idx="1">
                  <c:v>Μείωση ενοικίου</c:v>
                </c:pt>
                <c:pt idx="2">
                  <c:v>Αναστολή φορολογικών υποχρεώσεων</c:v>
                </c:pt>
                <c:pt idx="3">
                  <c:v>Αναστολή επιταγών για 75 ημέρες</c:v>
                </c:pt>
              </c:strCache>
            </c:strRef>
          </c:cat>
          <c:val>
            <c:numRef>
              <c:f>Φύλλο1!$D$2:$D$5</c:f>
              <c:numCache>
                <c:formatCode>General</c:formatCode>
                <c:ptCount val="4"/>
                <c:pt idx="0">
                  <c:v>1.1000000000000001</c:v>
                </c:pt>
                <c:pt idx="1">
                  <c:v>10.199999999999999</c:v>
                </c:pt>
                <c:pt idx="2">
                  <c:v>2.2000000000000002</c:v>
                </c:pt>
                <c:pt idx="3">
                  <c:v>2.1</c:v>
                </c:pt>
              </c:numCache>
            </c:numRef>
          </c:val>
          <c:extLst>
            <c:ext xmlns:c16="http://schemas.microsoft.com/office/drawing/2014/chart" uri="{C3380CC4-5D6E-409C-BE32-E72D297353CC}">
              <c16:uniqueId val="{00000003-DD70-428F-8E76-515FF0B97A91}"/>
            </c:ext>
          </c:extLst>
        </c:ser>
        <c:dLbls>
          <c:dLblPos val="ctr"/>
          <c:showLegendKey val="0"/>
          <c:showVal val="1"/>
          <c:showCatName val="0"/>
          <c:showSerName val="0"/>
          <c:showPercent val="0"/>
          <c:showBubbleSize val="0"/>
        </c:dLbls>
        <c:gapWidth val="50"/>
        <c:overlap val="100"/>
        <c:axId val="373486336"/>
        <c:axId val="373487872"/>
      </c:barChart>
      <c:catAx>
        <c:axId val="373486336"/>
        <c:scaling>
          <c:orientation val="maxMin"/>
        </c:scaling>
        <c:delete val="0"/>
        <c:axPos val="l"/>
        <c:numFmt formatCode="General" sourceLinked="0"/>
        <c:majorTickMark val="out"/>
        <c:minorTickMark val="none"/>
        <c:tickLblPos val="nextTo"/>
        <c:crossAx val="373487872"/>
        <c:crosses val="autoZero"/>
        <c:auto val="1"/>
        <c:lblAlgn val="ctr"/>
        <c:lblOffset val="100"/>
        <c:noMultiLvlLbl val="0"/>
      </c:catAx>
      <c:valAx>
        <c:axId val="373487872"/>
        <c:scaling>
          <c:orientation val="minMax"/>
        </c:scaling>
        <c:delete val="0"/>
        <c:axPos val="b"/>
        <c:majorGridlines/>
        <c:numFmt formatCode="0%" sourceLinked="1"/>
        <c:majorTickMark val="out"/>
        <c:minorTickMark val="none"/>
        <c:tickLblPos val="nextTo"/>
        <c:crossAx val="373486336"/>
        <c:crosses val="max"/>
        <c:crossBetween val="between"/>
      </c:valAx>
    </c:plotArea>
    <c:legend>
      <c:legendPos val="r"/>
      <c:layout>
        <c:manualLayout>
          <c:xMode val="edge"/>
          <c:yMode val="edge"/>
          <c:x val="0.29285464268647904"/>
          <c:y val="1.9505283120212609E-2"/>
          <c:w val="0.70390139674751706"/>
          <c:h val="6.1499900684435713E-2"/>
        </c:manualLayout>
      </c:layout>
      <c:overlay val="0"/>
    </c:legend>
    <c:plotVisOnly val="1"/>
    <c:dispBlanksAs val="gap"/>
    <c:showDLblsOverMax val="0"/>
  </c:chart>
  <c:txPr>
    <a:bodyPr/>
    <a:lstStyle/>
    <a:p>
      <a:pPr>
        <a:defRPr sz="8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172635270627928"/>
          <c:y val="5.8213261204595503E-2"/>
          <c:w val="0.69424545814846406"/>
          <c:h val="0.88396196718883091"/>
        </c:manualLayout>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a:ln>
              <a:noFill/>
            </a:ln>
          </c:spPr>
          <c:invertIfNegative val="0"/>
          <c:dPt>
            <c:idx val="0"/>
            <c:invertIfNegative val="0"/>
            <c:bubble3D val="0"/>
            <c:extLst>
              <c:ext xmlns:c16="http://schemas.microsoft.com/office/drawing/2014/chart" uri="{C3380CC4-5D6E-409C-BE32-E72D297353CC}">
                <c16:uniqueId val="{00000000-7A48-448B-98BF-46303B001072}"/>
              </c:ext>
            </c:extLst>
          </c:dPt>
          <c:dPt>
            <c:idx val="1"/>
            <c:invertIfNegative val="0"/>
            <c:bubble3D val="0"/>
            <c:extLst>
              <c:ext xmlns:c16="http://schemas.microsoft.com/office/drawing/2014/chart" uri="{C3380CC4-5D6E-409C-BE32-E72D297353CC}">
                <c16:uniqueId val="{00000001-7A48-448B-98BF-46303B001072}"/>
              </c:ext>
            </c:extLst>
          </c:dPt>
          <c:dPt>
            <c:idx val="2"/>
            <c:invertIfNegative val="0"/>
            <c:bubble3D val="0"/>
            <c:extLst>
              <c:ext xmlns:c16="http://schemas.microsoft.com/office/drawing/2014/chart" uri="{C3380CC4-5D6E-409C-BE32-E72D297353CC}">
                <c16:uniqueId val="{00000002-7A48-448B-98BF-46303B001072}"/>
              </c:ext>
            </c:extLst>
          </c:dPt>
          <c:dPt>
            <c:idx val="3"/>
            <c:invertIfNegative val="0"/>
            <c:bubble3D val="0"/>
            <c:extLst>
              <c:ext xmlns:c16="http://schemas.microsoft.com/office/drawing/2014/chart" uri="{C3380CC4-5D6E-409C-BE32-E72D297353CC}">
                <c16:uniqueId val="{00000003-7A48-448B-98BF-46303B001072}"/>
              </c:ext>
            </c:extLst>
          </c:dPt>
          <c:dPt>
            <c:idx val="5"/>
            <c:invertIfNegative val="0"/>
            <c:bubble3D val="0"/>
            <c:extLst>
              <c:ext xmlns:c16="http://schemas.microsoft.com/office/drawing/2014/chart" uri="{C3380CC4-5D6E-409C-BE32-E72D297353CC}">
                <c16:uniqueId val="{00000004-7A48-448B-98BF-46303B001072}"/>
              </c:ext>
            </c:extLst>
          </c:dPt>
          <c:dPt>
            <c:idx val="8"/>
            <c:invertIfNegative val="0"/>
            <c:bubble3D val="0"/>
            <c:spPr>
              <a:solidFill>
                <a:srgbClr val="376092"/>
              </a:solidFill>
              <a:ln>
                <a:noFill/>
              </a:ln>
            </c:spPr>
            <c:extLst>
              <c:ext xmlns:c16="http://schemas.microsoft.com/office/drawing/2014/chart" uri="{C3380CC4-5D6E-409C-BE32-E72D297353CC}">
                <c16:uniqueId val="{00000006-7A48-448B-98BF-46303B001072}"/>
              </c:ext>
            </c:extLst>
          </c:dPt>
          <c:dPt>
            <c:idx val="9"/>
            <c:invertIfNegative val="0"/>
            <c:bubble3D val="0"/>
            <c:spPr>
              <a:solidFill>
                <a:schemeClr val="bg1">
                  <a:lumMod val="75000"/>
                </a:schemeClr>
              </a:solidFill>
              <a:ln>
                <a:noFill/>
              </a:ln>
            </c:spPr>
            <c:extLst>
              <c:ext xmlns:c16="http://schemas.microsoft.com/office/drawing/2014/chart" uri="{C3380CC4-5D6E-409C-BE32-E72D297353CC}">
                <c16:uniqueId val="{00000008-7A48-448B-98BF-46303B001072}"/>
              </c:ext>
            </c:extLst>
          </c:dPt>
          <c:dPt>
            <c:idx val="10"/>
            <c:invertIfNegative val="0"/>
            <c:bubble3D val="0"/>
            <c:spPr>
              <a:solidFill>
                <a:schemeClr val="bg1">
                  <a:lumMod val="75000"/>
                </a:schemeClr>
              </a:solidFill>
              <a:ln>
                <a:noFill/>
              </a:ln>
            </c:spPr>
            <c:extLst>
              <c:ext xmlns:c16="http://schemas.microsoft.com/office/drawing/2014/chart" uri="{C3380CC4-5D6E-409C-BE32-E72D297353CC}">
                <c16:uniqueId val="{0000000A-7A48-448B-98BF-46303B001072}"/>
              </c:ext>
            </c:extLst>
          </c:dPt>
          <c:dPt>
            <c:idx val="11"/>
            <c:invertIfNegative val="0"/>
            <c:bubble3D val="0"/>
            <c:spPr>
              <a:solidFill>
                <a:srgbClr val="BFBFBF"/>
              </a:solidFill>
              <a:ln>
                <a:noFill/>
              </a:ln>
            </c:spPr>
            <c:extLst>
              <c:ext xmlns:c16="http://schemas.microsoft.com/office/drawing/2014/chart" uri="{C3380CC4-5D6E-409C-BE32-E72D297353CC}">
                <c16:uniqueId val="{0000000C-7A48-448B-98BF-46303B001072}"/>
              </c:ext>
            </c:extLst>
          </c:dPt>
          <c:dLbls>
            <c:dLbl>
              <c:idx val="4"/>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D-F3A9-4E37-BBD2-0BFCACDD96F6}"/>
                </c:ext>
              </c:extLst>
            </c:dLbl>
            <c:dLbl>
              <c:idx val="5"/>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4-7A48-448B-98BF-46303B00107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Φύλλο1!$A$2:$A$11</c:f>
              <c:strCache>
                <c:ptCount val="10"/>
                <c:pt idx="0">
                  <c:v>Επιστρεπτέες προκαταβολές</c:v>
                </c:pt>
                <c:pt idx="1">
                  <c:v>Μείωση/ απαλλαγή ενοικίου</c:v>
                </c:pt>
                <c:pt idx="2">
                  <c:v>Αναστολή φορολογικών/ασφαλιστικών υποχρεώσεων</c:v>
                </c:pt>
                <c:pt idx="3">
                  <c:v>Αναστολή συμβάσεων εργασίας</c:v>
                </c:pt>
                <c:pt idx="4">
                  <c:v>Τραπεζική δανειοδότηση με την εγγύηση του ελληνικού δημοσίου</c:v>
                </c:pt>
                <c:pt idx="5">
                  <c:v>Αναστολή επιταγών για 75 ημέρες</c:v>
                </c:pt>
                <c:pt idx="6">
                  <c:v>Προγράμματα δημιουργίας θέσεων εργασίας του ΟΑΕΔ</c:v>
                </c:pt>
                <c:pt idx="7">
                  <c:v>Πρόγραμμα δημιουργίας 100.000 θέσεων εργασίας</c:v>
                </c:pt>
                <c:pt idx="8">
                  <c:v>Πρόγραμμα Συνεργασία</c:v>
                </c:pt>
                <c:pt idx="9">
                  <c:v>ΔΑ</c:v>
                </c:pt>
              </c:strCache>
            </c:strRef>
          </c:cat>
          <c:val>
            <c:numRef>
              <c:f>Φύλλο1!$B$2:$B$11</c:f>
              <c:numCache>
                <c:formatCode>General</c:formatCode>
                <c:ptCount val="10"/>
                <c:pt idx="0">
                  <c:v>37.799999999999997</c:v>
                </c:pt>
                <c:pt idx="1">
                  <c:v>14.6</c:v>
                </c:pt>
                <c:pt idx="2">
                  <c:v>13.6</c:v>
                </c:pt>
                <c:pt idx="3">
                  <c:v>8</c:v>
                </c:pt>
                <c:pt idx="4">
                  <c:v>8</c:v>
                </c:pt>
                <c:pt idx="5">
                  <c:v>2.2000000000000002</c:v>
                </c:pt>
                <c:pt idx="6">
                  <c:v>1.2</c:v>
                </c:pt>
                <c:pt idx="7">
                  <c:v>0.9</c:v>
                </c:pt>
                <c:pt idx="8">
                  <c:v>0.2</c:v>
                </c:pt>
                <c:pt idx="9">
                  <c:v>13.4</c:v>
                </c:pt>
              </c:numCache>
            </c:numRef>
          </c:val>
          <c:extLst>
            <c:ext xmlns:c16="http://schemas.microsoft.com/office/drawing/2014/chart" uri="{C3380CC4-5D6E-409C-BE32-E72D297353CC}">
              <c16:uniqueId val="{0000000E-7A48-448B-98BF-46303B001072}"/>
            </c:ext>
          </c:extLst>
        </c:ser>
        <c:dLbls>
          <c:showLegendKey val="0"/>
          <c:showVal val="0"/>
          <c:showCatName val="0"/>
          <c:showSerName val="0"/>
          <c:showPercent val="0"/>
          <c:showBubbleSize val="0"/>
        </c:dLbls>
        <c:gapWidth val="72"/>
        <c:axId val="374399744"/>
        <c:axId val="374401280"/>
      </c:barChart>
      <c:catAx>
        <c:axId val="374399744"/>
        <c:scaling>
          <c:orientation val="maxMin"/>
        </c:scaling>
        <c:delete val="0"/>
        <c:axPos val="l"/>
        <c:numFmt formatCode="General" sourceLinked="0"/>
        <c:majorTickMark val="out"/>
        <c:minorTickMark val="none"/>
        <c:tickLblPos val="nextTo"/>
        <c:txPr>
          <a:bodyPr/>
          <a:lstStyle/>
          <a:p>
            <a:pPr>
              <a:defRPr sz="700"/>
            </a:pPr>
            <a:endParaRPr lang="el-GR"/>
          </a:p>
        </c:txPr>
        <c:crossAx val="374401280"/>
        <c:crosses val="autoZero"/>
        <c:auto val="1"/>
        <c:lblAlgn val="ctr"/>
        <c:lblOffset val="100"/>
        <c:noMultiLvlLbl val="0"/>
      </c:catAx>
      <c:valAx>
        <c:axId val="374401280"/>
        <c:scaling>
          <c:orientation val="minMax"/>
        </c:scaling>
        <c:delete val="0"/>
        <c:axPos val="b"/>
        <c:numFmt formatCode="General" sourceLinked="1"/>
        <c:majorTickMark val="out"/>
        <c:minorTickMark val="none"/>
        <c:tickLblPos val="nextTo"/>
        <c:crossAx val="374399744"/>
        <c:crosses val="max"/>
        <c:crossBetween val="between"/>
      </c:valAx>
    </c:plotArea>
    <c:plotVisOnly val="1"/>
    <c:dispBlanksAs val="gap"/>
    <c:showDLblsOverMax val="0"/>
  </c:chart>
  <c:txPr>
    <a:bodyPr/>
    <a:lstStyle/>
    <a:p>
      <a:pPr>
        <a:defRPr sz="8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27537129444247"/>
          <c:y val="4.6907516080302844E-2"/>
          <c:w val="0.69424545814846406"/>
          <c:h val="0.84778370396655767"/>
        </c:manualLayout>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a:ln>
              <a:noFill/>
            </a:ln>
          </c:spPr>
          <c:invertIfNegative val="0"/>
          <c:dPt>
            <c:idx val="0"/>
            <c:invertIfNegative val="0"/>
            <c:bubble3D val="0"/>
            <c:extLst>
              <c:ext xmlns:c16="http://schemas.microsoft.com/office/drawing/2014/chart" uri="{C3380CC4-5D6E-409C-BE32-E72D297353CC}">
                <c16:uniqueId val="{00000000-764D-4560-A7CC-02CECBFBAAC0}"/>
              </c:ext>
            </c:extLst>
          </c:dPt>
          <c:dPt>
            <c:idx val="1"/>
            <c:invertIfNegative val="0"/>
            <c:bubble3D val="0"/>
            <c:extLst>
              <c:ext xmlns:c16="http://schemas.microsoft.com/office/drawing/2014/chart" uri="{C3380CC4-5D6E-409C-BE32-E72D297353CC}">
                <c16:uniqueId val="{00000001-764D-4560-A7CC-02CECBFBAAC0}"/>
              </c:ext>
            </c:extLst>
          </c:dPt>
          <c:dPt>
            <c:idx val="2"/>
            <c:invertIfNegative val="0"/>
            <c:bubble3D val="0"/>
            <c:extLst>
              <c:ext xmlns:c16="http://schemas.microsoft.com/office/drawing/2014/chart" uri="{C3380CC4-5D6E-409C-BE32-E72D297353CC}">
                <c16:uniqueId val="{00000002-764D-4560-A7CC-02CECBFBAAC0}"/>
              </c:ext>
            </c:extLst>
          </c:dPt>
          <c:dPt>
            <c:idx val="3"/>
            <c:invertIfNegative val="0"/>
            <c:bubble3D val="0"/>
            <c:extLst>
              <c:ext xmlns:c16="http://schemas.microsoft.com/office/drawing/2014/chart" uri="{C3380CC4-5D6E-409C-BE32-E72D297353CC}">
                <c16:uniqueId val="{00000003-764D-4560-A7CC-02CECBFBAAC0}"/>
              </c:ext>
            </c:extLst>
          </c:dPt>
          <c:dPt>
            <c:idx val="5"/>
            <c:invertIfNegative val="0"/>
            <c:bubble3D val="0"/>
            <c:extLst>
              <c:ext xmlns:c16="http://schemas.microsoft.com/office/drawing/2014/chart" uri="{C3380CC4-5D6E-409C-BE32-E72D297353CC}">
                <c16:uniqueId val="{00000004-764D-4560-A7CC-02CECBFBAAC0}"/>
              </c:ext>
            </c:extLst>
          </c:dPt>
          <c:dPt>
            <c:idx val="9"/>
            <c:invertIfNegative val="0"/>
            <c:bubble3D val="0"/>
            <c:spPr>
              <a:solidFill>
                <a:srgbClr val="376092"/>
              </a:solidFill>
              <a:ln>
                <a:noFill/>
              </a:ln>
            </c:spPr>
            <c:extLst>
              <c:ext xmlns:c16="http://schemas.microsoft.com/office/drawing/2014/chart" uri="{C3380CC4-5D6E-409C-BE32-E72D297353CC}">
                <c16:uniqueId val="{00000006-764D-4560-A7CC-02CECBFBAAC0}"/>
              </c:ext>
            </c:extLst>
          </c:dPt>
          <c:dPt>
            <c:idx val="10"/>
            <c:invertIfNegative val="0"/>
            <c:bubble3D val="0"/>
            <c:spPr>
              <a:solidFill>
                <a:schemeClr val="bg1">
                  <a:lumMod val="75000"/>
                </a:schemeClr>
              </a:solidFill>
              <a:ln>
                <a:noFill/>
              </a:ln>
            </c:spPr>
            <c:extLst>
              <c:ext xmlns:c16="http://schemas.microsoft.com/office/drawing/2014/chart" uri="{C3380CC4-5D6E-409C-BE32-E72D297353CC}">
                <c16:uniqueId val="{00000008-764D-4560-A7CC-02CECBFBAAC0}"/>
              </c:ext>
            </c:extLst>
          </c:dPt>
          <c:dPt>
            <c:idx val="11"/>
            <c:invertIfNegative val="0"/>
            <c:bubble3D val="0"/>
            <c:spPr>
              <a:solidFill>
                <a:srgbClr val="BFBFBF"/>
              </a:solidFill>
              <a:ln>
                <a:noFill/>
              </a:ln>
            </c:spPr>
            <c:extLst>
              <c:ext xmlns:c16="http://schemas.microsoft.com/office/drawing/2014/chart" uri="{C3380CC4-5D6E-409C-BE32-E72D297353CC}">
                <c16:uniqueId val="{0000000A-764D-4560-A7CC-02CECBFBAAC0}"/>
              </c:ext>
            </c:extLst>
          </c:dPt>
          <c:dLbls>
            <c:dLbl>
              <c:idx val="4"/>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B-6B77-446C-ACA8-4D407E081B16}"/>
                </c:ext>
              </c:extLst>
            </c:dLbl>
            <c:dLbl>
              <c:idx val="5"/>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4-764D-4560-A7CC-02CECBFBAAC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Φύλλο1!$A$2:$A$12</c:f>
              <c:strCache>
                <c:ptCount val="11"/>
                <c:pt idx="0">
                  <c:v>Έως 1.000</c:v>
                </c:pt>
                <c:pt idx="1">
                  <c:v>1.001-2.000</c:v>
                </c:pt>
                <c:pt idx="2">
                  <c:v>2.001-3.000</c:v>
                </c:pt>
                <c:pt idx="3">
                  <c:v>3.001-4.000</c:v>
                </c:pt>
                <c:pt idx="4">
                  <c:v>4.001-5.000</c:v>
                </c:pt>
                <c:pt idx="5">
                  <c:v>5.001-7.000</c:v>
                </c:pt>
                <c:pt idx="6">
                  <c:v>7.001-10.000</c:v>
                </c:pt>
                <c:pt idx="7">
                  <c:v>10.001-20.000</c:v>
                </c:pt>
                <c:pt idx="8">
                  <c:v>20.001-50.000</c:v>
                </c:pt>
                <c:pt idx="9">
                  <c:v>50.001 και άνω</c:v>
                </c:pt>
                <c:pt idx="10">
                  <c:v>ΔΑ</c:v>
                </c:pt>
              </c:strCache>
            </c:strRef>
          </c:cat>
          <c:val>
            <c:numRef>
              <c:f>Φύλλο1!$B$2:$B$12</c:f>
              <c:numCache>
                <c:formatCode>General</c:formatCode>
                <c:ptCount val="11"/>
                <c:pt idx="0">
                  <c:v>18.399999999999999</c:v>
                </c:pt>
                <c:pt idx="1">
                  <c:v>12.4</c:v>
                </c:pt>
                <c:pt idx="2">
                  <c:v>8</c:v>
                </c:pt>
                <c:pt idx="3">
                  <c:v>9.1999999999999993</c:v>
                </c:pt>
                <c:pt idx="4">
                  <c:v>6.1</c:v>
                </c:pt>
                <c:pt idx="5">
                  <c:v>5.3</c:v>
                </c:pt>
                <c:pt idx="6">
                  <c:v>8.8000000000000007</c:v>
                </c:pt>
                <c:pt idx="7">
                  <c:v>9</c:v>
                </c:pt>
                <c:pt idx="8">
                  <c:v>7.3</c:v>
                </c:pt>
                <c:pt idx="9">
                  <c:v>7.1</c:v>
                </c:pt>
                <c:pt idx="10">
                  <c:v>8.4</c:v>
                </c:pt>
              </c:numCache>
            </c:numRef>
          </c:val>
          <c:extLst>
            <c:ext xmlns:c16="http://schemas.microsoft.com/office/drawing/2014/chart" uri="{C3380CC4-5D6E-409C-BE32-E72D297353CC}">
              <c16:uniqueId val="{0000000C-764D-4560-A7CC-02CECBFBAAC0}"/>
            </c:ext>
          </c:extLst>
        </c:ser>
        <c:dLbls>
          <c:showLegendKey val="0"/>
          <c:showVal val="0"/>
          <c:showCatName val="0"/>
          <c:showSerName val="0"/>
          <c:showPercent val="0"/>
          <c:showBubbleSize val="0"/>
        </c:dLbls>
        <c:gapWidth val="72"/>
        <c:axId val="374542336"/>
        <c:axId val="374543872"/>
      </c:barChart>
      <c:catAx>
        <c:axId val="374542336"/>
        <c:scaling>
          <c:orientation val="maxMin"/>
        </c:scaling>
        <c:delete val="0"/>
        <c:axPos val="l"/>
        <c:numFmt formatCode="General" sourceLinked="0"/>
        <c:majorTickMark val="out"/>
        <c:minorTickMark val="none"/>
        <c:tickLblPos val="nextTo"/>
        <c:crossAx val="374543872"/>
        <c:crosses val="autoZero"/>
        <c:auto val="1"/>
        <c:lblAlgn val="ctr"/>
        <c:lblOffset val="100"/>
        <c:noMultiLvlLbl val="0"/>
      </c:catAx>
      <c:valAx>
        <c:axId val="374543872"/>
        <c:scaling>
          <c:orientation val="minMax"/>
        </c:scaling>
        <c:delete val="0"/>
        <c:axPos val="b"/>
        <c:numFmt formatCode="General" sourceLinked="1"/>
        <c:majorTickMark val="out"/>
        <c:minorTickMark val="none"/>
        <c:tickLblPos val="nextTo"/>
        <c:crossAx val="374542336"/>
        <c:crosses val="max"/>
        <c:crossBetween val="between"/>
      </c:valAx>
    </c:plotArea>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3125000000000001"/>
          <c:y val="0.14687500000000001"/>
          <c:w val="0.47534490826548548"/>
          <c:h val="0.64401547225940814"/>
        </c:manualLayout>
      </c:layout>
      <c:doughnutChart>
        <c:varyColors val="1"/>
        <c:ser>
          <c:idx val="0"/>
          <c:order val="0"/>
          <c:tx>
            <c:strRef>
              <c:f>Φύλλο1!$B$1</c:f>
              <c:strCache>
                <c:ptCount val="1"/>
                <c:pt idx="0">
                  <c:v>Column1</c:v>
                </c:pt>
              </c:strCache>
            </c:strRef>
          </c:tx>
          <c:spPr>
            <a:ln>
              <a:solidFill>
                <a:schemeClr val="bg1"/>
              </a:solidFill>
            </a:ln>
          </c:spPr>
          <c:dPt>
            <c:idx val="0"/>
            <c:bubble3D val="0"/>
            <c:spPr>
              <a:solidFill>
                <a:schemeClr val="accent3">
                  <a:lumMod val="50000"/>
                </a:schemeClr>
              </a:solidFill>
              <a:ln>
                <a:solidFill>
                  <a:schemeClr val="bg1"/>
                </a:solidFill>
              </a:ln>
            </c:spPr>
            <c:extLst>
              <c:ext xmlns:c16="http://schemas.microsoft.com/office/drawing/2014/chart" uri="{C3380CC4-5D6E-409C-BE32-E72D297353CC}">
                <c16:uniqueId val="{00000001-DED5-4995-9668-1CD889229235}"/>
              </c:ext>
            </c:extLst>
          </c:dPt>
          <c:dPt>
            <c:idx val="1"/>
            <c:bubble3D val="0"/>
            <c:spPr>
              <a:solidFill>
                <a:schemeClr val="accent3">
                  <a:lumMod val="75000"/>
                </a:schemeClr>
              </a:solidFill>
              <a:ln>
                <a:solidFill>
                  <a:schemeClr val="bg1"/>
                </a:solidFill>
              </a:ln>
            </c:spPr>
            <c:extLst>
              <c:ext xmlns:c16="http://schemas.microsoft.com/office/drawing/2014/chart" uri="{C3380CC4-5D6E-409C-BE32-E72D297353CC}">
                <c16:uniqueId val="{00000003-DED5-4995-9668-1CD889229235}"/>
              </c:ext>
            </c:extLst>
          </c:dPt>
          <c:dPt>
            <c:idx val="2"/>
            <c:bubble3D val="0"/>
            <c:spPr>
              <a:solidFill>
                <a:schemeClr val="accent2">
                  <a:lumMod val="60000"/>
                  <a:lumOff val="40000"/>
                </a:schemeClr>
              </a:solidFill>
              <a:ln>
                <a:solidFill>
                  <a:schemeClr val="bg1"/>
                </a:solidFill>
              </a:ln>
            </c:spPr>
            <c:extLst>
              <c:ext xmlns:c16="http://schemas.microsoft.com/office/drawing/2014/chart" uri="{C3380CC4-5D6E-409C-BE32-E72D297353CC}">
                <c16:uniqueId val="{00000005-DED5-4995-9668-1CD889229235}"/>
              </c:ext>
            </c:extLst>
          </c:dPt>
          <c:dPt>
            <c:idx val="3"/>
            <c:bubble3D val="0"/>
            <c:spPr>
              <a:solidFill>
                <a:schemeClr val="accent2">
                  <a:lumMod val="75000"/>
                </a:schemeClr>
              </a:solidFill>
              <a:ln>
                <a:solidFill>
                  <a:schemeClr val="bg1"/>
                </a:solidFill>
              </a:ln>
            </c:spPr>
            <c:extLst>
              <c:ext xmlns:c16="http://schemas.microsoft.com/office/drawing/2014/chart" uri="{C3380CC4-5D6E-409C-BE32-E72D297353CC}">
                <c16:uniqueId val="{00000007-DED5-4995-9668-1CD889229235}"/>
              </c:ext>
            </c:extLst>
          </c:dPt>
          <c:dPt>
            <c:idx val="4"/>
            <c:bubble3D val="0"/>
            <c:spPr>
              <a:solidFill>
                <a:schemeClr val="tx1">
                  <a:lumMod val="50000"/>
                  <a:lumOff val="50000"/>
                </a:schemeClr>
              </a:solidFill>
              <a:ln>
                <a:solidFill>
                  <a:schemeClr val="bg1"/>
                </a:solidFill>
              </a:ln>
            </c:spPr>
            <c:extLst>
              <c:ext xmlns:c16="http://schemas.microsoft.com/office/drawing/2014/chart" uri="{C3380CC4-5D6E-409C-BE32-E72D297353CC}">
                <c16:uniqueId val="{00000009-DED5-4995-9668-1CD889229235}"/>
              </c:ext>
            </c:extLst>
          </c:dPt>
          <c:dLbls>
            <c:dLbl>
              <c:idx val="0"/>
              <c:layout>
                <c:manualLayout>
                  <c:x val="5.7973069148368493E-2"/>
                  <c:y val="-0.1216098285294808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DED5-4995-9668-1CD889229235}"/>
                </c:ext>
              </c:extLst>
            </c:dLbl>
            <c:dLbl>
              <c:idx val="1"/>
              <c:layout>
                <c:manualLayout>
                  <c:x val="0.11037173859918055"/>
                  <c:y val="-4.1277444177044632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ED5-4995-9668-1CD889229235}"/>
                </c:ext>
              </c:extLst>
            </c:dLbl>
            <c:dLbl>
              <c:idx val="2"/>
              <c:layout>
                <c:manualLayout>
                  <c:x val="8.6284899091362069E-2"/>
                  <c:y val="0.1438662897108188"/>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DED5-4995-9668-1CD889229235}"/>
                </c:ext>
              </c:extLst>
            </c:dLbl>
            <c:dLbl>
              <c:idx val="3"/>
              <c:layout>
                <c:manualLayout>
                  <c:x val="-8.3414263362182509E-2"/>
                  <c:y val="-0.12055616564249944"/>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DED5-4995-9668-1CD889229235}"/>
                </c:ext>
              </c:extLst>
            </c:dLbl>
            <c:dLbl>
              <c:idx val="4"/>
              <c:layout>
                <c:manualLayout>
                  <c:x val="-1.2500023681164386E-2"/>
                  <c:y val="-0.14117688076204565"/>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DED5-4995-9668-1CD889229235}"/>
                </c:ext>
              </c:extLst>
            </c:dLbl>
            <c:spPr>
              <a:noFill/>
              <a:ln>
                <a:noFill/>
              </a:ln>
              <a:effectLst/>
            </c:spPr>
            <c:showLegendKey val="0"/>
            <c:showVal val="1"/>
            <c:showCatName val="1"/>
            <c:showSerName val="0"/>
            <c:showPercent val="0"/>
            <c:showBubbleSize val="0"/>
            <c:separator>
</c:separator>
            <c:showLeaderLines val="0"/>
            <c:extLst>
              <c:ext xmlns:c15="http://schemas.microsoft.com/office/drawing/2012/chart" uri="{CE6537A1-D6FC-4f65-9D91-7224C49458BB}"/>
            </c:extLst>
          </c:dLbls>
          <c:cat>
            <c:strRef>
              <c:f>Φύλλο1!$A$2:$A$6</c:f>
              <c:strCache>
                <c:ptCount val="5"/>
                <c:pt idx="0">
                  <c:v>Ναι</c:v>
                </c:pt>
                <c:pt idx="1">
                  <c:v>Μάλλον ναι</c:v>
                </c:pt>
                <c:pt idx="2">
                  <c:v>Μάλλον όχι</c:v>
                </c:pt>
                <c:pt idx="3">
                  <c:v>Όχι</c:v>
                </c:pt>
                <c:pt idx="4">
                  <c:v>ΔΑ</c:v>
                </c:pt>
              </c:strCache>
            </c:strRef>
          </c:cat>
          <c:val>
            <c:numRef>
              <c:f>Φύλλο1!$B$2:$B$6</c:f>
              <c:numCache>
                <c:formatCode>General</c:formatCode>
                <c:ptCount val="5"/>
                <c:pt idx="0">
                  <c:v>20.2</c:v>
                </c:pt>
                <c:pt idx="1">
                  <c:v>18.399999999999999</c:v>
                </c:pt>
                <c:pt idx="2">
                  <c:v>11</c:v>
                </c:pt>
                <c:pt idx="3">
                  <c:v>48</c:v>
                </c:pt>
                <c:pt idx="4">
                  <c:v>2.4</c:v>
                </c:pt>
              </c:numCache>
            </c:numRef>
          </c:val>
          <c:extLst>
            <c:ext xmlns:c16="http://schemas.microsoft.com/office/drawing/2014/chart" uri="{C3380CC4-5D6E-409C-BE32-E72D297353CC}">
              <c16:uniqueId val="{0000000A-DED5-4995-9668-1CD889229235}"/>
            </c:ext>
          </c:extLst>
        </c:ser>
        <c:dLbls>
          <c:showLegendKey val="0"/>
          <c:showVal val="0"/>
          <c:showCatName val="0"/>
          <c:showSerName val="0"/>
          <c:showPercent val="0"/>
          <c:showBubbleSize val="0"/>
          <c:showLeaderLines val="0"/>
        </c:dLbls>
        <c:firstSliceAng val="0"/>
        <c:holeSize val="50"/>
      </c:doughnutChart>
    </c:plotArea>
    <c:plotVisOnly val="1"/>
    <c:dispBlanksAs val="zero"/>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27537129444247"/>
          <c:y val="4.6907516080302844E-2"/>
          <c:w val="0.69424545814846406"/>
          <c:h val="0.84778370396655767"/>
        </c:manualLayout>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a:ln>
              <a:noFill/>
            </a:ln>
          </c:spPr>
          <c:invertIfNegative val="0"/>
          <c:dPt>
            <c:idx val="0"/>
            <c:invertIfNegative val="0"/>
            <c:bubble3D val="0"/>
            <c:extLst>
              <c:ext xmlns:c16="http://schemas.microsoft.com/office/drawing/2014/chart" uri="{C3380CC4-5D6E-409C-BE32-E72D297353CC}">
                <c16:uniqueId val="{00000000-FDCD-43C9-A886-67775E9B199E}"/>
              </c:ext>
            </c:extLst>
          </c:dPt>
          <c:dPt>
            <c:idx val="1"/>
            <c:invertIfNegative val="0"/>
            <c:bubble3D val="0"/>
            <c:extLst>
              <c:ext xmlns:c16="http://schemas.microsoft.com/office/drawing/2014/chart" uri="{C3380CC4-5D6E-409C-BE32-E72D297353CC}">
                <c16:uniqueId val="{00000001-FDCD-43C9-A886-67775E9B199E}"/>
              </c:ext>
            </c:extLst>
          </c:dPt>
          <c:dPt>
            <c:idx val="2"/>
            <c:invertIfNegative val="0"/>
            <c:bubble3D val="0"/>
            <c:extLst>
              <c:ext xmlns:c16="http://schemas.microsoft.com/office/drawing/2014/chart" uri="{C3380CC4-5D6E-409C-BE32-E72D297353CC}">
                <c16:uniqueId val="{00000002-FDCD-43C9-A886-67775E9B199E}"/>
              </c:ext>
            </c:extLst>
          </c:dPt>
          <c:dPt>
            <c:idx val="3"/>
            <c:invertIfNegative val="0"/>
            <c:bubble3D val="0"/>
            <c:extLst>
              <c:ext xmlns:c16="http://schemas.microsoft.com/office/drawing/2014/chart" uri="{C3380CC4-5D6E-409C-BE32-E72D297353CC}">
                <c16:uniqueId val="{00000003-FDCD-43C9-A886-67775E9B199E}"/>
              </c:ext>
            </c:extLst>
          </c:dPt>
          <c:dPt>
            <c:idx val="5"/>
            <c:invertIfNegative val="0"/>
            <c:bubble3D val="0"/>
            <c:extLst>
              <c:ext xmlns:c16="http://schemas.microsoft.com/office/drawing/2014/chart" uri="{C3380CC4-5D6E-409C-BE32-E72D297353CC}">
                <c16:uniqueId val="{00000004-FDCD-43C9-A886-67775E9B199E}"/>
              </c:ext>
            </c:extLst>
          </c:dPt>
          <c:dPt>
            <c:idx val="9"/>
            <c:invertIfNegative val="0"/>
            <c:bubble3D val="0"/>
            <c:spPr>
              <a:solidFill>
                <a:srgbClr val="376092"/>
              </a:solidFill>
              <a:ln>
                <a:noFill/>
              </a:ln>
            </c:spPr>
            <c:extLst>
              <c:ext xmlns:c16="http://schemas.microsoft.com/office/drawing/2014/chart" uri="{C3380CC4-5D6E-409C-BE32-E72D297353CC}">
                <c16:uniqueId val="{00000006-FDCD-43C9-A886-67775E9B199E}"/>
              </c:ext>
            </c:extLst>
          </c:dPt>
          <c:dPt>
            <c:idx val="10"/>
            <c:invertIfNegative val="0"/>
            <c:bubble3D val="0"/>
            <c:spPr>
              <a:solidFill>
                <a:schemeClr val="bg1">
                  <a:lumMod val="75000"/>
                </a:schemeClr>
              </a:solidFill>
              <a:ln>
                <a:noFill/>
              </a:ln>
            </c:spPr>
            <c:extLst>
              <c:ext xmlns:c16="http://schemas.microsoft.com/office/drawing/2014/chart" uri="{C3380CC4-5D6E-409C-BE32-E72D297353CC}">
                <c16:uniqueId val="{00000008-FDCD-43C9-A886-67775E9B199E}"/>
              </c:ext>
            </c:extLst>
          </c:dPt>
          <c:dPt>
            <c:idx val="11"/>
            <c:invertIfNegative val="0"/>
            <c:bubble3D val="0"/>
            <c:spPr>
              <a:solidFill>
                <a:srgbClr val="BFBFBF"/>
              </a:solidFill>
              <a:ln>
                <a:noFill/>
              </a:ln>
            </c:spPr>
            <c:extLst>
              <c:ext xmlns:c16="http://schemas.microsoft.com/office/drawing/2014/chart" uri="{C3380CC4-5D6E-409C-BE32-E72D297353CC}">
                <c16:uniqueId val="{0000000A-FDCD-43C9-A886-67775E9B199E}"/>
              </c:ext>
            </c:extLst>
          </c:dPt>
          <c:dLbls>
            <c:dLbl>
              <c:idx val="4"/>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B-DCCF-4F00-9C39-322A13F572D9}"/>
                </c:ext>
              </c:extLst>
            </c:dLbl>
            <c:dLbl>
              <c:idx val="5"/>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4-FDCD-43C9-A886-67775E9B199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Φύλλο1!$A$2:$A$12</c:f>
              <c:strCache>
                <c:ptCount val="11"/>
                <c:pt idx="0">
                  <c:v>Έως 1.000</c:v>
                </c:pt>
                <c:pt idx="1">
                  <c:v>1.001-2.000</c:v>
                </c:pt>
                <c:pt idx="2">
                  <c:v>2.001-3.000</c:v>
                </c:pt>
                <c:pt idx="3">
                  <c:v>3.001-4.000</c:v>
                </c:pt>
                <c:pt idx="4">
                  <c:v>4.001-5.000</c:v>
                </c:pt>
                <c:pt idx="5">
                  <c:v>5.001-7.000</c:v>
                </c:pt>
                <c:pt idx="6">
                  <c:v>7.001-10.000</c:v>
                </c:pt>
                <c:pt idx="7">
                  <c:v>10.001-20.000</c:v>
                </c:pt>
                <c:pt idx="8">
                  <c:v>20.001-50.000</c:v>
                </c:pt>
                <c:pt idx="9">
                  <c:v>50.001 και άνω</c:v>
                </c:pt>
                <c:pt idx="10">
                  <c:v>ΔΑ</c:v>
                </c:pt>
              </c:strCache>
            </c:strRef>
          </c:cat>
          <c:val>
            <c:numRef>
              <c:f>Φύλλο1!$B$2:$B$12</c:f>
              <c:numCache>
                <c:formatCode>General</c:formatCode>
                <c:ptCount val="11"/>
                <c:pt idx="0">
                  <c:v>24.3</c:v>
                </c:pt>
                <c:pt idx="1">
                  <c:v>16.3</c:v>
                </c:pt>
                <c:pt idx="2">
                  <c:v>9.6</c:v>
                </c:pt>
                <c:pt idx="3">
                  <c:v>10</c:v>
                </c:pt>
                <c:pt idx="4">
                  <c:v>5.3</c:v>
                </c:pt>
                <c:pt idx="5">
                  <c:v>6</c:v>
                </c:pt>
                <c:pt idx="6">
                  <c:v>9</c:v>
                </c:pt>
                <c:pt idx="7">
                  <c:v>6.6</c:v>
                </c:pt>
                <c:pt idx="8">
                  <c:v>6</c:v>
                </c:pt>
                <c:pt idx="9">
                  <c:v>2</c:v>
                </c:pt>
                <c:pt idx="10">
                  <c:v>5</c:v>
                </c:pt>
              </c:numCache>
            </c:numRef>
          </c:val>
          <c:extLst>
            <c:ext xmlns:c16="http://schemas.microsoft.com/office/drawing/2014/chart" uri="{C3380CC4-5D6E-409C-BE32-E72D297353CC}">
              <c16:uniqueId val="{0000000C-FDCD-43C9-A886-67775E9B199E}"/>
            </c:ext>
          </c:extLst>
        </c:ser>
        <c:dLbls>
          <c:showLegendKey val="0"/>
          <c:showVal val="0"/>
          <c:showCatName val="0"/>
          <c:showSerName val="0"/>
          <c:showPercent val="0"/>
          <c:showBubbleSize val="0"/>
        </c:dLbls>
        <c:gapWidth val="72"/>
        <c:axId val="374688768"/>
        <c:axId val="374694656"/>
      </c:barChart>
      <c:catAx>
        <c:axId val="374688768"/>
        <c:scaling>
          <c:orientation val="maxMin"/>
        </c:scaling>
        <c:delete val="0"/>
        <c:axPos val="l"/>
        <c:numFmt formatCode="General" sourceLinked="0"/>
        <c:majorTickMark val="out"/>
        <c:minorTickMark val="none"/>
        <c:tickLblPos val="nextTo"/>
        <c:crossAx val="374694656"/>
        <c:crosses val="autoZero"/>
        <c:auto val="1"/>
        <c:lblAlgn val="ctr"/>
        <c:lblOffset val="100"/>
        <c:noMultiLvlLbl val="0"/>
      </c:catAx>
      <c:valAx>
        <c:axId val="374694656"/>
        <c:scaling>
          <c:orientation val="minMax"/>
        </c:scaling>
        <c:delete val="0"/>
        <c:axPos val="b"/>
        <c:numFmt formatCode="General" sourceLinked="1"/>
        <c:majorTickMark val="out"/>
        <c:minorTickMark val="none"/>
        <c:tickLblPos val="nextTo"/>
        <c:crossAx val="374688768"/>
        <c:crosses val="max"/>
        <c:crossBetween val="between"/>
      </c:valAx>
    </c:plotArea>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9027537129444247"/>
          <c:y val="4.6907516080302844E-2"/>
          <c:w val="0.69424545814846406"/>
          <c:h val="0.84778370396655767"/>
        </c:manualLayout>
      </c:layout>
      <c:barChart>
        <c:barDir val="bar"/>
        <c:grouping val="clustered"/>
        <c:varyColors val="0"/>
        <c:ser>
          <c:idx val="0"/>
          <c:order val="0"/>
          <c:tx>
            <c:strRef>
              <c:f>Φύλλο1!$B$1</c:f>
              <c:strCache>
                <c:ptCount val="1"/>
                <c:pt idx="0">
                  <c:v>Σειρά 1</c:v>
                </c:pt>
              </c:strCache>
            </c:strRef>
          </c:tx>
          <c:spPr>
            <a:solidFill>
              <a:schemeClr val="accent1">
                <a:lumMod val="75000"/>
              </a:schemeClr>
            </a:solidFill>
            <a:ln>
              <a:noFill/>
            </a:ln>
          </c:spPr>
          <c:invertIfNegative val="0"/>
          <c:dPt>
            <c:idx val="0"/>
            <c:invertIfNegative val="0"/>
            <c:bubble3D val="0"/>
            <c:extLst>
              <c:ext xmlns:c16="http://schemas.microsoft.com/office/drawing/2014/chart" uri="{C3380CC4-5D6E-409C-BE32-E72D297353CC}">
                <c16:uniqueId val="{00000000-2208-4DB2-9088-868661361482}"/>
              </c:ext>
            </c:extLst>
          </c:dPt>
          <c:dPt>
            <c:idx val="1"/>
            <c:invertIfNegative val="0"/>
            <c:bubble3D val="0"/>
            <c:extLst>
              <c:ext xmlns:c16="http://schemas.microsoft.com/office/drawing/2014/chart" uri="{C3380CC4-5D6E-409C-BE32-E72D297353CC}">
                <c16:uniqueId val="{00000001-2208-4DB2-9088-868661361482}"/>
              </c:ext>
            </c:extLst>
          </c:dPt>
          <c:dPt>
            <c:idx val="2"/>
            <c:invertIfNegative val="0"/>
            <c:bubble3D val="0"/>
            <c:extLst>
              <c:ext xmlns:c16="http://schemas.microsoft.com/office/drawing/2014/chart" uri="{C3380CC4-5D6E-409C-BE32-E72D297353CC}">
                <c16:uniqueId val="{00000002-2208-4DB2-9088-868661361482}"/>
              </c:ext>
            </c:extLst>
          </c:dPt>
          <c:dPt>
            <c:idx val="3"/>
            <c:invertIfNegative val="0"/>
            <c:bubble3D val="0"/>
            <c:extLst>
              <c:ext xmlns:c16="http://schemas.microsoft.com/office/drawing/2014/chart" uri="{C3380CC4-5D6E-409C-BE32-E72D297353CC}">
                <c16:uniqueId val="{00000003-2208-4DB2-9088-868661361482}"/>
              </c:ext>
            </c:extLst>
          </c:dPt>
          <c:dPt>
            <c:idx val="5"/>
            <c:invertIfNegative val="0"/>
            <c:bubble3D val="0"/>
            <c:extLst>
              <c:ext xmlns:c16="http://schemas.microsoft.com/office/drawing/2014/chart" uri="{C3380CC4-5D6E-409C-BE32-E72D297353CC}">
                <c16:uniqueId val="{00000004-2208-4DB2-9088-868661361482}"/>
              </c:ext>
            </c:extLst>
          </c:dPt>
          <c:dPt>
            <c:idx val="8"/>
            <c:invertIfNegative val="0"/>
            <c:bubble3D val="0"/>
            <c:spPr>
              <a:solidFill>
                <a:schemeClr val="bg1">
                  <a:lumMod val="65000"/>
                </a:schemeClr>
              </a:solidFill>
              <a:ln>
                <a:noFill/>
              </a:ln>
            </c:spPr>
            <c:extLst>
              <c:ext xmlns:c16="http://schemas.microsoft.com/office/drawing/2014/chart" uri="{C3380CC4-5D6E-409C-BE32-E72D297353CC}">
                <c16:uniqueId val="{00000006-2208-4DB2-9088-868661361482}"/>
              </c:ext>
            </c:extLst>
          </c:dPt>
          <c:dPt>
            <c:idx val="9"/>
            <c:invertIfNegative val="0"/>
            <c:bubble3D val="0"/>
            <c:spPr>
              <a:solidFill>
                <a:srgbClr val="376092"/>
              </a:solidFill>
              <a:ln>
                <a:noFill/>
              </a:ln>
            </c:spPr>
            <c:extLst>
              <c:ext xmlns:c16="http://schemas.microsoft.com/office/drawing/2014/chart" uri="{C3380CC4-5D6E-409C-BE32-E72D297353CC}">
                <c16:uniqueId val="{00000008-2208-4DB2-9088-868661361482}"/>
              </c:ext>
            </c:extLst>
          </c:dPt>
          <c:dPt>
            <c:idx val="10"/>
            <c:invertIfNegative val="0"/>
            <c:bubble3D val="0"/>
            <c:spPr>
              <a:solidFill>
                <a:schemeClr val="bg1">
                  <a:lumMod val="75000"/>
                </a:schemeClr>
              </a:solidFill>
              <a:ln>
                <a:noFill/>
              </a:ln>
            </c:spPr>
            <c:extLst>
              <c:ext xmlns:c16="http://schemas.microsoft.com/office/drawing/2014/chart" uri="{C3380CC4-5D6E-409C-BE32-E72D297353CC}">
                <c16:uniqueId val="{0000000A-2208-4DB2-9088-868661361482}"/>
              </c:ext>
            </c:extLst>
          </c:dPt>
          <c:dPt>
            <c:idx val="11"/>
            <c:invertIfNegative val="0"/>
            <c:bubble3D val="0"/>
            <c:spPr>
              <a:solidFill>
                <a:srgbClr val="BFBFBF"/>
              </a:solidFill>
              <a:ln>
                <a:noFill/>
              </a:ln>
            </c:spPr>
            <c:extLst>
              <c:ext xmlns:c16="http://schemas.microsoft.com/office/drawing/2014/chart" uri="{C3380CC4-5D6E-409C-BE32-E72D297353CC}">
                <c16:uniqueId val="{0000000C-2208-4DB2-9088-868661361482}"/>
              </c:ext>
            </c:extLst>
          </c:dPt>
          <c:dLbls>
            <c:dLbl>
              <c:idx val="4"/>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D-E8FB-48E2-BC71-CF73404F3470}"/>
                </c:ext>
              </c:extLst>
            </c:dLbl>
            <c:dLbl>
              <c:idx val="5"/>
              <c:spPr/>
              <c:txPr>
                <a:bodyPr/>
                <a:lstStyle/>
                <a:p>
                  <a:pPr algn="ctr">
                    <a:defRPr/>
                  </a:pPr>
                  <a:endParaRPr lang="el-GR"/>
                </a:p>
              </c:txPr>
              <c:showLegendKey val="0"/>
              <c:showVal val="1"/>
              <c:showCatName val="0"/>
              <c:showSerName val="0"/>
              <c:showPercent val="0"/>
              <c:showBubbleSize val="0"/>
              <c:extLst>
                <c:ext xmlns:c16="http://schemas.microsoft.com/office/drawing/2014/chart" uri="{C3380CC4-5D6E-409C-BE32-E72D297353CC}">
                  <c16:uniqueId val="{00000004-2208-4DB2-9088-86866136148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Φύλλο1!$A$2:$A$10</c:f>
              <c:strCache>
                <c:ptCount val="9"/>
                <c:pt idx="0">
                  <c:v>Έως 2.500</c:v>
                </c:pt>
                <c:pt idx="1">
                  <c:v>2.501-5.000</c:v>
                </c:pt>
                <c:pt idx="2">
                  <c:v>5.001- 10.000</c:v>
                </c:pt>
                <c:pt idx="3">
                  <c:v>10.001-20.000</c:v>
                </c:pt>
                <c:pt idx="4">
                  <c:v>20.001-30.000</c:v>
                </c:pt>
                <c:pt idx="5">
                  <c:v>30.001-50.000</c:v>
                </c:pt>
                <c:pt idx="6">
                  <c:v>50.001-100.000</c:v>
                </c:pt>
                <c:pt idx="7">
                  <c:v>&gt;100.000</c:v>
                </c:pt>
                <c:pt idx="8">
                  <c:v>ΔΓ/ΔΑ</c:v>
                </c:pt>
              </c:strCache>
            </c:strRef>
          </c:cat>
          <c:val>
            <c:numRef>
              <c:f>Φύλλο1!$B$2:$B$10</c:f>
              <c:numCache>
                <c:formatCode>General</c:formatCode>
                <c:ptCount val="9"/>
                <c:pt idx="0">
                  <c:v>8</c:v>
                </c:pt>
                <c:pt idx="1">
                  <c:v>21.3</c:v>
                </c:pt>
                <c:pt idx="2">
                  <c:v>21</c:v>
                </c:pt>
                <c:pt idx="3">
                  <c:v>17</c:v>
                </c:pt>
                <c:pt idx="4">
                  <c:v>10.7</c:v>
                </c:pt>
                <c:pt idx="5">
                  <c:v>5.7</c:v>
                </c:pt>
                <c:pt idx="6">
                  <c:v>5</c:v>
                </c:pt>
                <c:pt idx="7">
                  <c:v>4.3</c:v>
                </c:pt>
                <c:pt idx="8">
                  <c:v>7</c:v>
                </c:pt>
              </c:numCache>
            </c:numRef>
          </c:val>
          <c:extLst>
            <c:ext xmlns:c16="http://schemas.microsoft.com/office/drawing/2014/chart" uri="{C3380CC4-5D6E-409C-BE32-E72D297353CC}">
              <c16:uniqueId val="{0000000E-2208-4DB2-9088-868661361482}"/>
            </c:ext>
          </c:extLst>
        </c:ser>
        <c:dLbls>
          <c:showLegendKey val="0"/>
          <c:showVal val="0"/>
          <c:showCatName val="0"/>
          <c:showSerName val="0"/>
          <c:showPercent val="0"/>
          <c:showBubbleSize val="0"/>
        </c:dLbls>
        <c:gapWidth val="72"/>
        <c:axId val="374815744"/>
        <c:axId val="374817536"/>
      </c:barChart>
      <c:catAx>
        <c:axId val="374815744"/>
        <c:scaling>
          <c:orientation val="maxMin"/>
        </c:scaling>
        <c:delete val="0"/>
        <c:axPos val="l"/>
        <c:numFmt formatCode="General" sourceLinked="0"/>
        <c:majorTickMark val="out"/>
        <c:minorTickMark val="none"/>
        <c:tickLblPos val="nextTo"/>
        <c:crossAx val="374817536"/>
        <c:crosses val="autoZero"/>
        <c:auto val="1"/>
        <c:lblAlgn val="ctr"/>
        <c:lblOffset val="100"/>
        <c:noMultiLvlLbl val="0"/>
      </c:catAx>
      <c:valAx>
        <c:axId val="374817536"/>
        <c:scaling>
          <c:orientation val="minMax"/>
        </c:scaling>
        <c:delete val="0"/>
        <c:axPos val="b"/>
        <c:numFmt formatCode="General" sourceLinked="1"/>
        <c:majorTickMark val="out"/>
        <c:minorTickMark val="none"/>
        <c:tickLblPos val="nextTo"/>
        <c:crossAx val="374815744"/>
        <c:crosses val="max"/>
        <c:crossBetween val="between"/>
      </c:valAx>
    </c:plotArea>
    <c:plotVisOnly val="1"/>
    <c:dispBlanksAs val="gap"/>
    <c:showDLblsOverMax val="0"/>
  </c:chart>
  <c:txPr>
    <a:bodyPr/>
    <a:lstStyle/>
    <a:p>
      <a:pPr>
        <a:defRPr sz="9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187875895674859"/>
          <c:y val="0.1449362685210768"/>
          <c:w val="0.56675340644214434"/>
          <c:h val="0.7404641677976711"/>
        </c:manualLayout>
      </c:layout>
      <c:doughnutChart>
        <c:varyColors val="1"/>
        <c:ser>
          <c:idx val="0"/>
          <c:order val="0"/>
          <c:spPr>
            <a:ln w="12700">
              <a:solidFill>
                <a:schemeClr val="bg1"/>
              </a:solidFill>
            </a:ln>
            <a:effectLst/>
          </c:spPr>
          <c:dPt>
            <c:idx val="0"/>
            <c:bubble3D val="0"/>
            <c:spPr>
              <a:solidFill>
                <a:schemeClr val="accent3"/>
              </a:solidFill>
              <a:ln w="12700">
                <a:solidFill>
                  <a:schemeClr val="bg1"/>
                </a:solidFill>
              </a:ln>
              <a:effectLst/>
            </c:spPr>
            <c:extLst>
              <c:ext xmlns:c16="http://schemas.microsoft.com/office/drawing/2014/chart" uri="{C3380CC4-5D6E-409C-BE32-E72D297353CC}">
                <c16:uniqueId val="{00000001-A99B-4C1B-A2A5-52CD56DED197}"/>
              </c:ext>
            </c:extLst>
          </c:dPt>
          <c:dPt>
            <c:idx val="1"/>
            <c:bubble3D val="0"/>
            <c:spPr>
              <a:solidFill>
                <a:schemeClr val="accent2"/>
              </a:solidFill>
              <a:ln w="12700">
                <a:solidFill>
                  <a:schemeClr val="bg1"/>
                </a:solidFill>
              </a:ln>
              <a:effectLst/>
            </c:spPr>
            <c:extLst>
              <c:ext xmlns:c16="http://schemas.microsoft.com/office/drawing/2014/chart" uri="{C3380CC4-5D6E-409C-BE32-E72D297353CC}">
                <c16:uniqueId val="{00000003-A99B-4C1B-A2A5-52CD56DED197}"/>
              </c:ext>
            </c:extLst>
          </c:dPt>
          <c:dPt>
            <c:idx val="2"/>
            <c:bubble3D val="0"/>
            <c:spPr>
              <a:solidFill>
                <a:srgbClr val="4F81BD"/>
              </a:solidFill>
              <a:ln w="12700">
                <a:solidFill>
                  <a:schemeClr val="bg1"/>
                </a:solidFill>
              </a:ln>
              <a:effectLst/>
            </c:spPr>
            <c:extLst>
              <c:ext xmlns:c16="http://schemas.microsoft.com/office/drawing/2014/chart" uri="{C3380CC4-5D6E-409C-BE32-E72D297353CC}">
                <c16:uniqueId val="{00000005-A99B-4C1B-A2A5-52CD56DED197}"/>
              </c:ext>
            </c:extLst>
          </c:dPt>
          <c:dPt>
            <c:idx val="3"/>
            <c:bubble3D val="0"/>
            <c:spPr>
              <a:solidFill>
                <a:schemeClr val="bg1">
                  <a:lumMod val="65000"/>
                </a:schemeClr>
              </a:solidFill>
              <a:ln w="12700">
                <a:solidFill>
                  <a:schemeClr val="bg1"/>
                </a:solidFill>
              </a:ln>
              <a:effectLst/>
            </c:spPr>
            <c:extLst>
              <c:ext xmlns:c16="http://schemas.microsoft.com/office/drawing/2014/chart" uri="{C3380CC4-5D6E-409C-BE32-E72D297353CC}">
                <c16:uniqueId val="{00000007-A99B-4C1B-A2A5-52CD56DED197}"/>
              </c:ext>
            </c:extLst>
          </c:dPt>
          <c:dLbls>
            <c:dLbl>
              <c:idx val="0"/>
              <c:layout>
                <c:manualLayout>
                  <c:x val="3.9116831013611381E-2"/>
                  <c:y val="-0.154758042044584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9B-4C1B-A2A5-52CD56DED197}"/>
                </c:ext>
              </c:extLst>
            </c:dLbl>
            <c:dLbl>
              <c:idx val="1"/>
              <c:layout>
                <c:manualLayout>
                  <c:x val="-5.3078985152094924E-3"/>
                  <c:y val="0.173034192554056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9B-4C1B-A2A5-52CD56DED197}"/>
                </c:ext>
              </c:extLst>
            </c:dLbl>
            <c:dLbl>
              <c:idx val="2"/>
              <c:layout>
                <c:manualLayout>
                  <c:x val="-0.10842791675859229"/>
                  <c:y val="-0.147346576154970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9B-4C1B-A2A5-52CD56DED197}"/>
                </c:ext>
              </c:extLst>
            </c:dLbl>
            <c:dLbl>
              <c:idx val="3"/>
              <c:delete val="1"/>
              <c:extLst>
                <c:ext xmlns:c15="http://schemas.microsoft.com/office/drawing/2012/chart" uri="{CE6537A1-D6FC-4f65-9D91-7224C49458BB}"/>
                <c:ext xmlns:c16="http://schemas.microsoft.com/office/drawing/2014/chart" uri="{C3380CC4-5D6E-409C-BE32-E72D297353CC}">
                  <c16:uniqueId val="{00000007-A99B-4C1B-A2A5-52CD56DED19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icrosoft JhengHei UI" panose="020B0604030504040204" pitchFamily="34" charset="-120"/>
                    <a:ea typeface="Microsoft JhengHei UI" panose="020B0604030504040204" pitchFamily="34" charset="-120"/>
                    <a:cs typeface="+mn-cs"/>
                  </a:defRPr>
                </a:pPr>
                <a:endParaRPr lang="el-GR"/>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Sheet1!$B$1:$E$1</c:f>
              <c:strCache>
                <c:ptCount val="4"/>
                <c:pt idx="0">
                  <c:v>Βελτιώθηκε</c:v>
                </c:pt>
                <c:pt idx="1">
                  <c:v>Επιδεινώθηκε</c:v>
                </c:pt>
                <c:pt idx="2">
                  <c:v>Παρέμεινε αμετάβλητη</c:v>
                </c:pt>
                <c:pt idx="3">
                  <c:v>ΔΑ</c:v>
                </c:pt>
              </c:strCache>
            </c:strRef>
          </c:cat>
          <c:val>
            <c:numRef>
              <c:f>Sheet1!$B$2:$E$2</c:f>
              <c:numCache>
                <c:formatCode>General</c:formatCode>
                <c:ptCount val="4"/>
                <c:pt idx="0">
                  <c:v>4.2</c:v>
                </c:pt>
                <c:pt idx="1">
                  <c:v>79.8</c:v>
                </c:pt>
                <c:pt idx="2">
                  <c:v>15.9</c:v>
                </c:pt>
                <c:pt idx="3">
                  <c:v>0.1</c:v>
                </c:pt>
              </c:numCache>
            </c:numRef>
          </c:val>
          <c:extLst>
            <c:ext xmlns:c16="http://schemas.microsoft.com/office/drawing/2014/chart" uri="{C3380CC4-5D6E-409C-BE32-E72D297353CC}">
              <c16:uniqueId val="{00000008-A99B-4C1B-A2A5-52CD56DED197}"/>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zero"/>
    <c:showDLblsOverMax val="0"/>
  </c:chart>
  <c:spPr>
    <a:noFill/>
    <a:ln w="9525" cap="flat" cmpd="sng" algn="ctr">
      <a:solidFill>
        <a:sysClr val="windowText" lastClr="000000"/>
      </a:solidFill>
      <a:round/>
    </a:ln>
    <a:effectLst/>
  </c:spPr>
  <c:txPr>
    <a:bodyPr/>
    <a:lstStyle/>
    <a:p>
      <a:pPr>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511087846543614"/>
          <c:y val="6.699017848757606E-2"/>
          <c:w val="0.75971758413064094"/>
          <c:h val="0.87210341697941962"/>
        </c:manualLayout>
      </c:layout>
      <c:barChart>
        <c:barDir val="bar"/>
        <c:grouping val="percentStacked"/>
        <c:varyColors val="0"/>
        <c:ser>
          <c:idx val="0"/>
          <c:order val="0"/>
          <c:tx>
            <c:strRef>
              <c:f>Φύλλο1!$B$1</c:f>
              <c:strCache>
                <c:ptCount val="1"/>
                <c:pt idx="0">
                  <c:v>Βελτιώθηκε</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Φύλλο1!$B$2:$B$26</c:f>
              <c:numCache>
                <c:formatCode>General</c:formatCode>
                <c:ptCount val="25"/>
                <c:pt idx="1">
                  <c:v>3.7</c:v>
                </c:pt>
                <c:pt idx="2">
                  <c:v>6.2</c:v>
                </c:pt>
                <c:pt idx="3">
                  <c:v>3.5</c:v>
                </c:pt>
                <c:pt idx="5">
                  <c:v>3.6</c:v>
                </c:pt>
                <c:pt idx="6">
                  <c:v>3</c:v>
                </c:pt>
                <c:pt idx="7">
                  <c:v>5.7</c:v>
                </c:pt>
                <c:pt idx="8">
                  <c:v>4.3</c:v>
                </c:pt>
                <c:pt idx="10">
                  <c:v>3.1</c:v>
                </c:pt>
                <c:pt idx="11">
                  <c:v>4</c:v>
                </c:pt>
                <c:pt idx="12">
                  <c:v>3.5</c:v>
                </c:pt>
                <c:pt idx="13">
                  <c:v>8.6999999999999993</c:v>
                </c:pt>
                <c:pt idx="15">
                  <c:v>4.4000000000000004</c:v>
                </c:pt>
                <c:pt idx="16">
                  <c:v>5.8</c:v>
                </c:pt>
                <c:pt idx="17">
                  <c:v>3.2</c:v>
                </c:pt>
                <c:pt idx="18">
                  <c:v>4.3</c:v>
                </c:pt>
                <c:pt idx="20">
                  <c:v>3.1</c:v>
                </c:pt>
                <c:pt idx="21">
                  <c:v>4.7</c:v>
                </c:pt>
                <c:pt idx="22">
                  <c:v>4.9000000000000004</c:v>
                </c:pt>
                <c:pt idx="23">
                  <c:v>2.6</c:v>
                </c:pt>
                <c:pt idx="24">
                  <c:v>5.9</c:v>
                </c:pt>
              </c:numCache>
            </c:numRef>
          </c:val>
          <c:extLst>
            <c:ext xmlns:c16="http://schemas.microsoft.com/office/drawing/2014/chart" uri="{C3380CC4-5D6E-409C-BE32-E72D297353CC}">
              <c16:uniqueId val="{00000000-0C49-4734-8A9C-AE8D04BD43BB}"/>
            </c:ext>
          </c:extLst>
        </c:ser>
        <c:ser>
          <c:idx val="1"/>
          <c:order val="1"/>
          <c:tx>
            <c:strRef>
              <c:f>Φύλλο1!$C$1</c:f>
              <c:strCache>
                <c:ptCount val="1"/>
                <c:pt idx="0">
                  <c:v>Επιδεινώθηκε</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Φύλλο1!$C$2:$C$26</c:f>
              <c:numCache>
                <c:formatCode>General</c:formatCode>
                <c:ptCount val="25"/>
                <c:pt idx="1">
                  <c:v>76</c:v>
                </c:pt>
                <c:pt idx="2">
                  <c:v>80.400000000000006</c:v>
                </c:pt>
                <c:pt idx="3">
                  <c:v>83</c:v>
                </c:pt>
                <c:pt idx="5">
                  <c:v>70.900000000000006</c:v>
                </c:pt>
                <c:pt idx="6">
                  <c:v>80.599999999999994</c:v>
                </c:pt>
                <c:pt idx="7">
                  <c:v>74.3</c:v>
                </c:pt>
                <c:pt idx="8">
                  <c:v>81</c:v>
                </c:pt>
                <c:pt idx="10">
                  <c:v>88</c:v>
                </c:pt>
                <c:pt idx="11">
                  <c:v>78.5</c:v>
                </c:pt>
                <c:pt idx="12">
                  <c:v>78.3</c:v>
                </c:pt>
                <c:pt idx="13">
                  <c:v>62.3</c:v>
                </c:pt>
                <c:pt idx="15">
                  <c:v>77.8</c:v>
                </c:pt>
                <c:pt idx="16">
                  <c:v>77.900000000000006</c:v>
                </c:pt>
                <c:pt idx="17">
                  <c:v>78.7</c:v>
                </c:pt>
                <c:pt idx="18">
                  <c:v>85.1</c:v>
                </c:pt>
                <c:pt idx="20">
                  <c:v>84.1</c:v>
                </c:pt>
                <c:pt idx="21">
                  <c:v>82.6</c:v>
                </c:pt>
                <c:pt idx="22">
                  <c:v>75.5</c:v>
                </c:pt>
                <c:pt idx="23">
                  <c:v>84.4</c:v>
                </c:pt>
                <c:pt idx="24">
                  <c:v>71.7</c:v>
                </c:pt>
              </c:numCache>
            </c:numRef>
          </c:val>
          <c:extLst>
            <c:ext xmlns:c16="http://schemas.microsoft.com/office/drawing/2014/chart" uri="{C3380CC4-5D6E-409C-BE32-E72D297353CC}">
              <c16:uniqueId val="{00000001-0C49-4734-8A9C-AE8D04BD43BB}"/>
            </c:ext>
          </c:extLst>
        </c:ser>
        <c:ser>
          <c:idx val="2"/>
          <c:order val="2"/>
          <c:tx>
            <c:strRef>
              <c:f>Φύλλο1!$D$1</c:f>
              <c:strCache>
                <c:ptCount val="1"/>
                <c:pt idx="0">
                  <c:v>Παρέμεινε αμετάβλητη</c:v>
                </c:pt>
              </c:strCache>
            </c:strRef>
          </c:tx>
          <c:spPr>
            <a:solidFill>
              <a:schemeClr val="accent1">
                <a:lumMod val="75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Φύλλο1!$D$2:$D$26</c:f>
              <c:numCache>
                <c:formatCode>General</c:formatCode>
                <c:ptCount val="25"/>
                <c:pt idx="1">
                  <c:v>20.3</c:v>
                </c:pt>
                <c:pt idx="2">
                  <c:v>13.4</c:v>
                </c:pt>
                <c:pt idx="3">
                  <c:v>13.2</c:v>
                </c:pt>
                <c:pt idx="5">
                  <c:v>23.6</c:v>
                </c:pt>
                <c:pt idx="6">
                  <c:v>16.399999999999999</c:v>
                </c:pt>
                <c:pt idx="7">
                  <c:v>20</c:v>
                </c:pt>
                <c:pt idx="8">
                  <c:v>14.7</c:v>
                </c:pt>
                <c:pt idx="10">
                  <c:v>8.6999999999999993</c:v>
                </c:pt>
                <c:pt idx="11">
                  <c:v>17.399999999999999</c:v>
                </c:pt>
                <c:pt idx="12">
                  <c:v>18.3</c:v>
                </c:pt>
                <c:pt idx="13">
                  <c:v>29</c:v>
                </c:pt>
                <c:pt idx="15">
                  <c:v>17.7</c:v>
                </c:pt>
                <c:pt idx="16">
                  <c:v>16.3</c:v>
                </c:pt>
                <c:pt idx="17">
                  <c:v>17.600000000000001</c:v>
                </c:pt>
                <c:pt idx="18">
                  <c:v>10.6</c:v>
                </c:pt>
                <c:pt idx="20">
                  <c:v>12.8</c:v>
                </c:pt>
                <c:pt idx="21">
                  <c:v>12.1</c:v>
                </c:pt>
                <c:pt idx="22">
                  <c:v>19.600000000000001</c:v>
                </c:pt>
                <c:pt idx="23">
                  <c:v>13</c:v>
                </c:pt>
                <c:pt idx="24">
                  <c:v>22.4</c:v>
                </c:pt>
              </c:numCache>
            </c:numRef>
          </c:val>
          <c:extLst>
            <c:ext xmlns:c16="http://schemas.microsoft.com/office/drawing/2014/chart" uri="{C3380CC4-5D6E-409C-BE32-E72D297353CC}">
              <c16:uniqueId val="{00000002-0C49-4734-8A9C-AE8D04BD43BB}"/>
            </c:ext>
          </c:extLst>
        </c:ser>
        <c:ser>
          <c:idx val="3"/>
          <c:order val="3"/>
          <c:tx>
            <c:strRef>
              <c:f>Φύλλο1!$E$1</c:f>
              <c:strCache>
                <c:ptCount val="1"/>
                <c:pt idx="0">
                  <c:v>ΔΑ</c:v>
                </c:pt>
              </c:strCache>
            </c:strRef>
          </c:tx>
          <c:spPr>
            <a:solidFill>
              <a:schemeClr val="bg1">
                <a:lumMod val="50000"/>
              </a:schemeClr>
            </a:solidFill>
          </c:spPr>
          <c:invertIfNegative val="0"/>
          <c:dLbls>
            <c:dLbl>
              <c:idx val="3"/>
              <c:layout>
                <c:manualLayout>
                  <c:x val="2.301970532685910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49-4734-8A9C-AE8D04BD43BB}"/>
                </c:ext>
              </c:extLst>
            </c:dLbl>
            <c:dLbl>
              <c:idx val="4"/>
              <c:layout>
                <c:manualLayout>
                  <c:x val="1.5474077226713182E-2"/>
                  <c:y val="-2.290510289621499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C49-4734-8A9C-AE8D04BD43BB}"/>
                </c:ext>
              </c:extLst>
            </c:dLbl>
            <c:dLbl>
              <c:idx val="5"/>
              <c:layout>
                <c:manualLayout>
                  <c:x val="1.7247071885316642E-2"/>
                  <c:y val="-2.249706829543038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C49-4734-8A9C-AE8D04BD43BB}"/>
                </c:ext>
              </c:extLst>
            </c:dLbl>
            <c:dLbl>
              <c:idx val="19"/>
              <c:layout>
                <c:manualLayout>
                  <c:x val="3.4240374435520235E-2"/>
                  <c:y val="-4.581020579243040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C49-4734-8A9C-AE8D04BD43BB}"/>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Φύλλο1!$E$2:$E$26</c:f>
              <c:numCache>
                <c:formatCode>General</c:formatCode>
                <c:ptCount val="25"/>
                <c:pt idx="1">
                  <c:v>0</c:v>
                </c:pt>
                <c:pt idx="2">
                  <c:v>0</c:v>
                </c:pt>
                <c:pt idx="3">
                  <c:v>0.3</c:v>
                </c:pt>
                <c:pt idx="5">
                  <c:v>1.8</c:v>
                </c:pt>
                <c:pt idx="6">
                  <c:v>0</c:v>
                </c:pt>
                <c:pt idx="7">
                  <c:v>0</c:v>
                </c:pt>
                <c:pt idx="8">
                  <c:v>0</c:v>
                </c:pt>
                <c:pt idx="10">
                  <c:v>0.3</c:v>
                </c:pt>
                <c:pt idx="11">
                  <c:v>0</c:v>
                </c:pt>
                <c:pt idx="12">
                  <c:v>0</c:v>
                </c:pt>
                <c:pt idx="13">
                  <c:v>0</c:v>
                </c:pt>
                <c:pt idx="15">
                  <c:v>0</c:v>
                </c:pt>
                <c:pt idx="16">
                  <c:v>0</c:v>
                </c:pt>
                <c:pt idx="17">
                  <c:v>0.5</c:v>
                </c:pt>
                <c:pt idx="18">
                  <c:v>0</c:v>
                </c:pt>
                <c:pt idx="20">
                  <c:v>0</c:v>
                </c:pt>
                <c:pt idx="21">
                  <c:v>0.7</c:v>
                </c:pt>
                <c:pt idx="22">
                  <c:v>0</c:v>
                </c:pt>
                <c:pt idx="23">
                  <c:v>0</c:v>
                </c:pt>
                <c:pt idx="24">
                  <c:v>0</c:v>
                </c:pt>
              </c:numCache>
            </c:numRef>
          </c:val>
          <c:extLst>
            <c:ext xmlns:c16="http://schemas.microsoft.com/office/drawing/2014/chart" uri="{C3380CC4-5D6E-409C-BE32-E72D297353CC}">
              <c16:uniqueId val="{00000007-0C49-4734-8A9C-AE8D04BD43BB}"/>
            </c:ext>
          </c:extLst>
        </c:ser>
        <c:dLbls>
          <c:showLegendKey val="0"/>
          <c:showVal val="0"/>
          <c:showCatName val="0"/>
          <c:showSerName val="0"/>
          <c:showPercent val="0"/>
          <c:showBubbleSize val="0"/>
        </c:dLbls>
        <c:gapWidth val="30"/>
        <c:overlap val="100"/>
        <c:axId val="350247936"/>
        <c:axId val="350253824"/>
      </c:barChart>
      <c:catAx>
        <c:axId val="350247936"/>
        <c:scaling>
          <c:orientation val="maxMin"/>
        </c:scaling>
        <c:delete val="0"/>
        <c:axPos val="l"/>
        <c:numFmt formatCode="General" sourceLinked="0"/>
        <c:majorTickMark val="out"/>
        <c:minorTickMark val="none"/>
        <c:tickLblPos val="nextTo"/>
        <c:crossAx val="350253824"/>
        <c:crosses val="autoZero"/>
        <c:auto val="1"/>
        <c:lblAlgn val="ctr"/>
        <c:lblOffset val="100"/>
        <c:noMultiLvlLbl val="0"/>
      </c:catAx>
      <c:valAx>
        <c:axId val="350253824"/>
        <c:scaling>
          <c:orientation val="minMax"/>
        </c:scaling>
        <c:delete val="0"/>
        <c:axPos val="b"/>
        <c:majorGridlines/>
        <c:numFmt formatCode="0%" sourceLinked="1"/>
        <c:majorTickMark val="out"/>
        <c:minorTickMark val="none"/>
        <c:tickLblPos val="nextTo"/>
        <c:crossAx val="350247936"/>
        <c:crosses val="max"/>
        <c:crossBetween val="between"/>
      </c:valAx>
    </c:plotArea>
    <c:legend>
      <c:legendPos val="t"/>
      <c:layout>
        <c:manualLayout>
          <c:xMode val="edge"/>
          <c:yMode val="edge"/>
          <c:x val="0.24117469399269018"/>
          <c:y val="0"/>
          <c:w val="0.54490917899281277"/>
          <c:h val="4.6545931758530182E-2"/>
        </c:manualLayout>
      </c:layout>
      <c:overlay val="0"/>
    </c:legend>
    <c:plotVisOnly val="1"/>
    <c:dispBlanksAs val="gap"/>
    <c:showDLblsOverMax val="0"/>
  </c:chart>
  <c:txPr>
    <a:bodyPr/>
    <a:lstStyle/>
    <a:p>
      <a:pPr>
        <a:defRPr sz="8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nchor="t" anchorCtr="0"/>
          <a:lstStyle/>
          <a:p>
            <a:pPr>
              <a:defRPr/>
            </a:pPr>
            <a:r>
              <a:rPr lang="el-GR" sz="1200" b="1">
                <a:effectLst/>
              </a:rPr>
              <a:t>Γράφημα 4</a:t>
            </a:r>
            <a:endParaRPr lang="en-US" sz="1200">
              <a:effectLst/>
            </a:endParaRPr>
          </a:p>
          <a:p>
            <a:pPr>
              <a:defRPr/>
            </a:pPr>
            <a:r>
              <a:rPr lang="el-GR" sz="1000" b="1">
                <a:effectLst/>
              </a:rPr>
              <a:t>Θα ήθελα να μου πείτε εάν το δεύτερο εξάμηνο του 2020, αυξήθηκε, μειώθηκε ή παρέμεινε αμετάβλητος ο κύκλος εργασιών (τζίρος) της επιχείρησής σας:</a:t>
            </a:r>
            <a:endParaRPr lang="en-US" sz="1000">
              <a:effectLst/>
            </a:endParaRPr>
          </a:p>
        </c:rich>
      </c:tx>
      <c:layout>
        <c:manualLayout>
          <c:xMode val="edge"/>
          <c:yMode val="edge"/>
          <c:x val="9.2477731622129911E-2"/>
          <c:y val="5.9041699542158432E-4"/>
        </c:manualLayout>
      </c:layout>
      <c:overlay val="0"/>
    </c:title>
    <c:autoTitleDeleted val="0"/>
    <c:plotArea>
      <c:layout>
        <c:manualLayout>
          <c:layoutTarget val="inner"/>
          <c:xMode val="edge"/>
          <c:yMode val="edge"/>
          <c:x val="0.20187875895674859"/>
          <c:y val="0.27498306247179566"/>
          <c:w val="0.39762507523439"/>
          <c:h val="0.61041732402533311"/>
        </c:manualLayout>
      </c:layout>
      <c:doughnutChart>
        <c:varyColors val="1"/>
        <c:ser>
          <c:idx val="0"/>
          <c:order val="0"/>
          <c:spPr>
            <a:ln w="12700">
              <a:solidFill>
                <a:schemeClr val="bg1"/>
              </a:solidFill>
            </a:ln>
            <a:effectLst/>
          </c:spPr>
          <c:dPt>
            <c:idx val="0"/>
            <c:bubble3D val="0"/>
            <c:spPr>
              <a:solidFill>
                <a:schemeClr val="accent3"/>
              </a:solidFill>
              <a:ln w="12700">
                <a:solidFill>
                  <a:schemeClr val="bg1"/>
                </a:solidFill>
              </a:ln>
              <a:effectLst/>
            </c:spPr>
            <c:extLst>
              <c:ext xmlns:c16="http://schemas.microsoft.com/office/drawing/2014/chart" uri="{C3380CC4-5D6E-409C-BE32-E72D297353CC}">
                <c16:uniqueId val="{00000001-4FB6-4144-A405-B0D27B3CBEF8}"/>
              </c:ext>
            </c:extLst>
          </c:dPt>
          <c:dPt>
            <c:idx val="1"/>
            <c:bubble3D val="0"/>
            <c:spPr>
              <a:solidFill>
                <a:schemeClr val="accent2"/>
              </a:solidFill>
              <a:ln w="12700">
                <a:solidFill>
                  <a:schemeClr val="bg1"/>
                </a:solidFill>
              </a:ln>
              <a:effectLst/>
            </c:spPr>
            <c:extLst>
              <c:ext xmlns:c16="http://schemas.microsoft.com/office/drawing/2014/chart" uri="{C3380CC4-5D6E-409C-BE32-E72D297353CC}">
                <c16:uniqueId val="{00000003-4FB6-4144-A405-B0D27B3CBEF8}"/>
              </c:ext>
            </c:extLst>
          </c:dPt>
          <c:dPt>
            <c:idx val="2"/>
            <c:bubble3D val="0"/>
            <c:spPr>
              <a:solidFill>
                <a:srgbClr val="4F81BD"/>
              </a:solidFill>
              <a:ln w="12700">
                <a:solidFill>
                  <a:schemeClr val="bg1"/>
                </a:solidFill>
              </a:ln>
              <a:effectLst/>
            </c:spPr>
            <c:extLst>
              <c:ext xmlns:c16="http://schemas.microsoft.com/office/drawing/2014/chart" uri="{C3380CC4-5D6E-409C-BE32-E72D297353CC}">
                <c16:uniqueId val="{00000005-4FB6-4144-A405-B0D27B3CBEF8}"/>
              </c:ext>
            </c:extLst>
          </c:dPt>
          <c:dPt>
            <c:idx val="3"/>
            <c:bubble3D val="0"/>
            <c:spPr>
              <a:solidFill>
                <a:schemeClr val="bg1">
                  <a:lumMod val="65000"/>
                </a:schemeClr>
              </a:solidFill>
              <a:ln w="12700">
                <a:solidFill>
                  <a:schemeClr val="bg1"/>
                </a:solidFill>
              </a:ln>
              <a:effectLst/>
            </c:spPr>
            <c:extLst>
              <c:ext xmlns:c16="http://schemas.microsoft.com/office/drawing/2014/chart" uri="{C3380CC4-5D6E-409C-BE32-E72D297353CC}">
                <c16:uniqueId val="{00000007-4FB6-4144-A405-B0D27B3CBEF8}"/>
              </c:ext>
            </c:extLst>
          </c:dPt>
          <c:dLbls>
            <c:dLbl>
              <c:idx val="0"/>
              <c:layout>
                <c:manualLayout>
                  <c:x val="3.9116831013611381E-2"/>
                  <c:y val="-0.1547580420445847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B6-4144-A405-B0D27B3CBEF8}"/>
                </c:ext>
              </c:extLst>
            </c:dLbl>
            <c:dLbl>
              <c:idx val="1"/>
              <c:layout>
                <c:manualLayout>
                  <c:x val="-5.3078985152094924E-3"/>
                  <c:y val="0.1730341925540566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B6-4144-A405-B0D27B3CBEF8}"/>
                </c:ext>
              </c:extLst>
            </c:dLbl>
            <c:dLbl>
              <c:idx val="2"/>
              <c:layout>
                <c:manualLayout>
                  <c:x val="-0.10842791675859229"/>
                  <c:y val="-0.147346576154970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B6-4144-A405-B0D27B3CBEF8}"/>
                </c:ext>
              </c:extLst>
            </c:dLbl>
            <c:dLbl>
              <c:idx val="3"/>
              <c:layout>
                <c:manualLayout>
                  <c:x val="-2.4770193070977397E-2"/>
                  <c:y val="-0.1554374950061865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FB6-4144-A405-B0D27B3CBEF8}"/>
                </c:ext>
              </c:extLst>
            </c:dLbl>
            <c:numFmt formatCode="0.0%" sourceLinked="0"/>
            <c:spPr>
              <a:noFill/>
              <a:ln>
                <a:noFill/>
              </a:ln>
              <a:effectLst/>
            </c:spPr>
            <c:txPr>
              <a:bodyPr rot="0" vert="horz"/>
              <a:lstStyle/>
              <a:p>
                <a:pPr>
                  <a:defRPr sz="1000"/>
                </a:pPr>
                <a:endParaRPr lang="el-GR"/>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Sheet1!$B$1:$E$1</c:f>
              <c:strCache>
                <c:ptCount val="4"/>
                <c:pt idx="0">
                  <c:v>αυξήθηκε</c:v>
                </c:pt>
                <c:pt idx="1">
                  <c:v>μειώθηκε</c:v>
                </c:pt>
                <c:pt idx="2">
                  <c:v>αμετάβλητος</c:v>
                </c:pt>
                <c:pt idx="3">
                  <c:v>Δ.Α</c:v>
                </c:pt>
              </c:strCache>
            </c:strRef>
          </c:cat>
          <c:val>
            <c:numRef>
              <c:f>Sheet1!$B$2:$E$2</c:f>
              <c:numCache>
                <c:formatCode>General</c:formatCode>
                <c:ptCount val="4"/>
                <c:pt idx="0">
                  <c:v>11.1</c:v>
                </c:pt>
                <c:pt idx="1">
                  <c:v>70.7</c:v>
                </c:pt>
                <c:pt idx="2">
                  <c:v>16.899999999999999</c:v>
                </c:pt>
                <c:pt idx="3">
                  <c:v>1.3</c:v>
                </c:pt>
              </c:numCache>
            </c:numRef>
          </c:val>
          <c:extLst>
            <c:ext xmlns:c16="http://schemas.microsoft.com/office/drawing/2014/chart" uri="{C3380CC4-5D6E-409C-BE32-E72D297353CC}">
              <c16:uniqueId val="{00000008-4FB6-4144-A405-B0D27B3CBEF8}"/>
            </c:ext>
          </c:extLst>
        </c:ser>
        <c:dLbls>
          <c:showLegendKey val="0"/>
          <c:showVal val="0"/>
          <c:showCatName val="0"/>
          <c:showSerName val="0"/>
          <c:showPercent val="1"/>
          <c:showBubbleSize val="0"/>
          <c:showLeaderLines val="0"/>
        </c:dLbls>
        <c:firstSliceAng val="0"/>
        <c:holeSize val="50"/>
      </c:doughnutChart>
      <c:spPr>
        <a:noFill/>
        <a:ln>
          <a:noFill/>
        </a:ln>
        <a:effectLst/>
      </c:spPr>
    </c:plotArea>
    <c:plotVisOnly val="1"/>
    <c:dispBlanksAs val="zero"/>
    <c:showDLblsOverMax val="0"/>
  </c:chart>
  <c:spPr>
    <a:noFill/>
    <a:ln w="9525" cap="flat" cmpd="sng" algn="ctr">
      <a:noFill/>
      <a:round/>
    </a:ln>
    <a:effectLst/>
  </c:spPr>
  <c:txPr>
    <a:bodyPr/>
    <a:lstStyle/>
    <a:p>
      <a:pPr>
        <a:defRPr sz="1000"/>
      </a:pPr>
      <a:endParaRPr lang="el-G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511087846543614"/>
          <c:y val="8.3145433888433123E-2"/>
          <c:w val="0.7572887020838468"/>
          <c:h val="0.84737772440099124"/>
        </c:manualLayout>
      </c:layout>
      <c:barChart>
        <c:barDir val="bar"/>
        <c:grouping val="percentStacked"/>
        <c:varyColors val="0"/>
        <c:ser>
          <c:idx val="0"/>
          <c:order val="0"/>
          <c:tx>
            <c:strRef>
              <c:f>Φύλλο1!$B$1</c:f>
              <c:strCache>
                <c:ptCount val="1"/>
                <c:pt idx="0">
                  <c:v>αυξήθηκε</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Φύλλο1!$B$2:$B$26</c:f>
              <c:numCache>
                <c:formatCode>General</c:formatCode>
                <c:ptCount val="25"/>
                <c:pt idx="1">
                  <c:v>13.5</c:v>
                </c:pt>
                <c:pt idx="2">
                  <c:v>10.3</c:v>
                </c:pt>
                <c:pt idx="3">
                  <c:v>9.3000000000000007</c:v>
                </c:pt>
                <c:pt idx="5">
                  <c:v>10.9</c:v>
                </c:pt>
                <c:pt idx="6">
                  <c:v>16.399999999999999</c:v>
                </c:pt>
                <c:pt idx="7">
                  <c:v>15.7</c:v>
                </c:pt>
                <c:pt idx="8">
                  <c:v>10.1</c:v>
                </c:pt>
                <c:pt idx="10">
                  <c:v>7.8</c:v>
                </c:pt>
                <c:pt idx="11">
                  <c:v>11.4</c:v>
                </c:pt>
                <c:pt idx="12">
                  <c:v>8.6999999999999993</c:v>
                </c:pt>
                <c:pt idx="13">
                  <c:v>23.2</c:v>
                </c:pt>
                <c:pt idx="15">
                  <c:v>9.6</c:v>
                </c:pt>
                <c:pt idx="16">
                  <c:v>16.3</c:v>
                </c:pt>
                <c:pt idx="17">
                  <c:v>12.5</c:v>
                </c:pt>
                <c:pt idx="18">
                  <c:v>9</c:v>
                </c:pt>
                <c:pt idx="20">
                  <c:v>10.5</c:v>
                </c:pt>
                <c:pt idx="21">
                  <c:v>7.4</c:v>
                </c:pt>
                <c:pt idx="22">
                  <c:v>9.1999999999999993</c:v>
                </c:pt>
                <c:pt idx="23">
                  <c:v>13</c:v>
                </c:pt>
                <c:pt idx="24">
                  <c:v>17.100000000000001</c:v>
                </c:pt>
              </c:numCache>
            </c:numRef>
          </c:val>
          <c:extLst>
            <c:ext xmlns:c16="http://schemas.microsoft.com/office/drawing/2014/chart" uri="{C3380CC4-5D6E-409C-BE32-E72D297353CC}">
              <c16:uniqueId val="{00000000-95A1-4057-BF4E-99C80535FDFB}"/>
            </c:ext>
          </c:extLst>
        </c:ser>
        <c:ser>
          <c:idx val="1"/>
          <c:order val="1"/>
          <c:tx>
            <c:strRef>
              <c:f>Φύλλο1!$C$1</c:f>
              <c:strCache>
                <c:ptCount val="1"/>
                <c:pt idx="0">
                  <c:v>μειώθηκε</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Φύλλο1!$C$2:$C$26</c:f>
              <c:numCache>
                <c:formatCode>General</c:formatCode>
                <c:ptCount val="25"/>
                <c:pt idx="1">
                  <c:v>69.599999999999994</c:v>
                </c:pt>
                <c:pt idx="2">
                  <c:v>70.099999999999994</c:v>
                </c:pt>
                <c:pt idx="3">
                  <c:v>72</c:v>
                </c:pt>
                <c:pt idx="5">
                  <c:v>65.5</c:v>
                </c:pt>
                <c:pt idx="6">
                  <c:v>67.2</c:v>
                </c:pt>
                <c:pt idx="7">
                  <c:v>64.3</c:v>
                </c:pt>
                <c:pt idx="8">
                  <c:v>72.099999999999994</c:v>
                </c:pt>
                <c:pt idx="10">
                  <c:v>78.2</c:v>
                </c:pt>
                <c:pt idx="11">
                  <c:v>70.5</c:v>
                </c:pt>
                <c:pt idx="12">
                  <c:v>73.900000000000006</c:v>
                </c:pt>
                <c:pt idx="13">
                  <c:v>50.7</c:v>
                </c:pt>
                <c:pt idx="15">
                  <c:v>64.8</c:v>
                </c:pt>
                <c:pt idx="16">
                  <c:v>76.900000000000006</c:v>
                </c:pt>
                <c:pt idx="17">
                  <c:v>69.400000000000006</c:v>
                </c:pt>
                <c:pt idx="18">
                  <c:v>77.7</c:v>
                </c:pt>
                <c:pt idx="20">
                  <c:v>75.599999999999994</c:v>
                </c:pt>
                <c:pt idx="21">
                  <c:v>76.5</c:v>
                </c:pt>
                <c:pt idx="22">
                  <c:v>68.099999999999994</c:v>
                </c:pt>
                <c:pt idx="23">
                  <c:v>72.7</c:v>
                </c:pt>
                <c:pt idx="24">
                  <c:v>57.9</c:v>
                </c:pt>
              </c:numCache>
            </c:numRef>
          </c:val>
          <c:extLst>
            <c:ext xmlns:c16="http://schemas.microsoft.com/office/drawing/2014/chart" uri="{C3380CC4-5D6E-409C-BE32-E72D297353CC}">
              <c16:uniqueId val="{00000001-95A1-4057-BF4E-99C80535FDFB}"/>
            </c:ext>
          </c:extLst>
        </c:ser>
        <c:ser>
          <c:idx val="2"/>
          <c:order val="2"/>
          <c:tx>
            <c:strRef>
              <c:f>Φύλλο1!$D$1</c:f>
              <c:strCache>
                <c:ptCount val="1"/>
                <c:pt idx="0">
                  <c:v>αμετάβλητος/η</c:v>
                </c:pt>
              </c:strCache>
            </c:strRef>
          </c:tx>
          <c:spPr>
            <a:solidFill>
              <a:schemeClr val="accent1">
                <a:lumMod val="75000"/>
              </a:schemeClr>
            </a:solidFill>
          </c:spPr>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Φύλλο1!$D$2:$D$26</c:f>
              <c:numCache>
                <c:formatCode>General</c:formatCode>
                <c:ptCount val="25"/>
                <c:pt idx="1">
                  <c:v>15.5</c:v>
                </c:pt>
                <c:pt idx="2">
                  <c:v>18.600000000000001</c:v>
                </c:pt>
                <c:pt idx="3">
                  <c:v>17</c:v>
                </c:pt>
                <c:pt idx="5">
                  <c:v>16.399999999999999</c:v>
                </c:pt>
                <c:pt idx="6">
                  <c:v>16.399999999999999</c:v>
                </c:pt>
                <c:pt idx="7">
                  <c:v>18.600000000000001</c:v>
                </c:pt>
                <c:pt idx="8">
                  <c:v>16.8</c:v>
                </c:pt>
                <c:pt idx="10">
                  <c:v>12.6</c:v>
                </c:pt>
                <c:pt idx="11">
                  <c:v>16.8</c:v>
                </c:pt>
                <c:pt idx="12">
                  <c:v>16.5</c:v>
                </c:pt>
                <c:pt idx="13">
                  <c:v>24.6</c:v>
                </c:pt>
                <c:pt idx="15">
                  <c:v>23.5</c:v>
                </c:pt>
                <c:pt idx="16">
                  <c:v>5.8</c:v>
                </c:pt>
                <c:pt idx="17">
                  <c:v>16.7</c:v>
                </c:pt>
                <c:pt idx="18">
                  <c:v>12.8</c:v>
                </c:pt>
                <c:pt idx="20">
                  <c:v>12.4</c:v>
                </c:pt>
                <c:pt idx="21">
                  <c:v>14.1</c:v>
                </c:pt>
                <c:pt idx="22">
                  <c:v>22.1</c:v>
                </c:pt>
                <c:pt idx="23">
                  <c:v>13</c:v>
                </c:pt>
                <c:pt idx="24">
                  <c:v>23.7</c:v>
                </c:pt>
              </c:numCache>
            </c:numRef>
          </c:val>
          <c:extLst>
            <c:ext xmlns:c16="http://schemas.microsoft.com/office/drawing/2014/chart" uri="{C3380CC4-5D6E-409C-BE32-E72D297353CC}">
              <c16:uniqueId val="{00000002-95A1-4057-BF4E-99C80535FDFB}"/>
            </c:ext>
          </c:extLst>
        </c:ser>
        <c:ser>
          <c:idx val="3"/>
          <c:order val="3"/>
          <c:tx>
            <c:strRef>
              <c:f>Φύλλο1!$E$1</c:f>
              <c:strCache>
                <c:ptCount val="1"/>
                <c:pt idx="0">
                  <c:v>Δ.Α</c:v>
                </c:pt>
              </c:strCache>
            </c:strRef>
          </c:tx>
          <c:spPr>
            <a:solidFill>
              <a:schemeClr val="bg1">
                <a:lumMod val="50000"/>
              </a:schemeClr>
            </a:solidFill>
          </c:spPr>
          <c:invertIfNegative val="0"/>
          <c:dLbls>
            <c:dLbl>
              <c:idx val="1"/>
              <c:layout>
                <c:manualLayout>
                  <c:x val="1.798692343456161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A1-4057-BF4E-99C80535FDFB}"/>
                </c:ext>
              </c:extLst>
            </c:dLbl>
            <c:dLbl>
              <c:idx val="2"/>
              <c:layout>
                <c:manualLayout>
                  <c:x val="1.4469730105304468E-2"/>
                  <c:y val="2.062207437618195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5A1-4057-BF4E-99C80535FDFB}"/>
                </c:ext>
              </c:extLst>
            </c:dLbl>
            <c:dLbl>
              <c:idx val="3"/>
              <c:layout>
                <c:manualLayout>
                  <c:x val="2.301970532685910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5A1-4057-BF4E-99C80535FDFB}"/>
                </c:ext>
              </c:extLst>
            </c:dLbl>
            <c:dLbl>
              <c:idx val="4"/>
              <c:layout>
                <c:manualLayout>
                  <c:x val="1.5474077226713182E-2"/>
                  <c:y val="-2.290510289621499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5A1-4057-BF4E-99C80535FDFB}"/>
                </c:ext>
              </c:extLst>
            </c:dLbl>
            <c:dLbl>
              <c:idx val="5"/>
              <c:layout>
                <c:manualLayout>
                  <c:x val="4.0370920057114484E-2"/>
                  <c:y val="-5.7814671662282813E-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3.219533365327077E-2"/>
                      <c:h val="4.7296813462226986E-2"/>
                    </c:manualLayout>
                  </c15:layout>
                </c:ext>
                <c:ext xmlns:c16="http://schemas.microsoft.com/office/drawing/2014/chart" uri="{C3380CC4-5D6E-409C-BE32-E72D297353CC}">
                  <c16:uniqueId val="{00000007-95A1-4057-BF4E-99C80535FDFB}"/>
                </c:ext>
              </c:extLst>
            </c:dLbl>
            <c:dLbl>
              <c:idx val="6"/>
              <c:delete val="1"/>
              <c:extLst>
                <c:ext xmlns:c15="http://schemas.microsoft.com/office/drawing/2012/chart" uri="{CE6537A1-D6FC-4f65-9D91-7224C49458BB}"/>
                <c:ext xmlns:c16="http://schemas.microsoft.com/office/drawing/2014/chart" uri="{C3380CC4-5D6E-409C-BE32-E72D297353CC}">
                  <c16:uniqueId val="{00000016-95A1-4057-BF4E-99C80535FDFB}"/>
                </c:ext>
              </c:extLst>
            </c:dLbl>
            <c:dLbl>
              <c:idx val="7"/>
              <c:layout>
                <c:manualLayout>
                  <c:x val="1.7986923434561614E-2"/>
                  <c:y val="2.24970682954307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5A1-4057-BF4E-99C80535FDFB}"/>
                </c:ext>
              </c:extLst>
            </c:dLbl>
            <c:dLbl>
              <c:idx val="8"/>
              <c:layout>
                <c:manualLayout>
                  <c:x val="8.3975249883193725E-3"/>
                  <c:y val="2.249706829543120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5A1-4057-BF4E-99C80535FDFB}"/>
                </c:ext>
              </c:extLst>
            </c:dLbl>
            <c:dLbl>
              <c:idx val="10"/>
              <c:layout>
                <c:manualLayout>
                  <c:x val="1.4471355735020825E-2"/>
                  <c:y val="-2.249706829542996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5A1-4057-BF4E-99C80535FDFB}"/>
                </c:ext>
              </c:extLst>
            </c:dLbl>
            <c:dLbl>
              <c:idx val="11"/>
              <c:layout>
                <c:manualLayout>
                  <c:x val="1.4851179336984051E-2"/>
                  <c:y val="-1.124853414771539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5A1-4057-BF4E-99C80535FDFB}"/>
                </c:ext>
              </c:extLst>
            </c:dLbl>
            <c:dLbl>
              <c:idx val="13"/>
              <c:layout>
                <c:manualLayout>
                  <c:x val="1.3230297439318181E-2"/>
                  <c:y val="4.9594244599495312E-3"/>
                </c:manualLayout>
              </c:layout>
              <c:spPr>
                <a:noFill/>
                <a:ln>
                  <a:noFill/>
                </a:ln>
                <a:effectLst/>
              </c:spPr>
              <c:txPr>
                <a:bodyPr/>
                <a:lstStyle/>
                <a:p>
                  <a:pPr>
                    <a:defRPr sz="800"/>
                  </a:pPr>
                  <a:endParaRPr lang="el-GR"/>
                </a:p>
              </c:txPr>
              <c:dLblPos val="ctr"/>
              <c:showLegendKey val="0"/>
              <c:showVal val="1"/>
              <c:showCatName val="0"/>
              <c:showSerName val="0"/>
              <c:showPercent val="0"/>
              <c:showBubbleSize val="0"/>
              <c:extLst>
                <c:ext xmlns:c15="http://schemas.microsoft.com/office/drawing/2012/chart" uri="{CE6537A1-D6FC-4f65-9D91-7224C49458BB}">
                  <c15:layout>
                    <c:manualLayout>
                      <c:w val="4.5579086756367647E-2"/>
                      <c:h val="4.932832644039796E-2"/>
                    </c:manualLayout>
                  </c15:layout>
                </c:ext>
                <c:ext xmlns:c16="http://schemas.microsoft.com/office/drawing/2014/chart" uri="{C3380CC4-5D6E-409C-BE32-E72D297353CC}">
                  <c16:uniqueId val="{0000000C-95A1-4057-BF4E-99C80535FDFB}"/>
                </c:ext>
              </c:extLst>
            </c:dLbl>
            <c:dLbl>
              <c:idx val="15"/>
              <c:layout>
                <c:manualLayout>
                  <c:x val="2.037898974954401E-2"/>
                  <c:y val="4.499590801356283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5A1-4057-BF4E-99C80535FDFB}"/>
                </c:ext>
              </c:extLst>
            </c:dLbl>
            <c:dLbl>
              <c:idx val="16"/>
              <c:layout>
                <c:manualLayout>
                  <c:x val="1.4469730105304468E-2"/>
                  <c:y val="2.24970682954307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5A1-4057-BF4E-99C80535FDFB}"/>
                </c:ext>
              </c:extLst>
            </c:dLbl>
            <c:dLbl>
              <c:idx val="17"/>
              <c:layout>
                <c:manualLayout>
                  <c:x val="1.447135573502082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5A1-4057-BF4E-99C80535FDFB}"/>
                </c:ext>
              </c:extLst>
            </c:dLbl>
            <c:dLbl>
              <c:idx val="19"/>
              <c:layout>
                <c:manualLayout>
                  <c:x val="3.4240374435520235E-2"/>
                  <c:y val="-4.581020579243040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5A1-4057-BF4E-99C80535FDFB}"/>
                </c:ext>
              </c:extLst>
            </c:dLbl>
            <c:dLbl>
              <c:idx val="20"/>
              <c:layout>
                <c:manualLayout>
                  <c:x val="1.614651934508925E-2"/>
                  <c:y val="8.99882731817231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5A1-4057-BF4E-99C80535FDFB}"/>
                </c:ext>
              </c:extLst>
            </c:dLbl>
            <c:dLbl>
              <c:idx val="21"/>
              <c:layout>
                <c:manualLayout>
                  <c:x val="1.9172198748341619E-2"/>
                  <c:y val="6.74929763089928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5A1-4057-BF4E-99C80535FDFB}"/>
                </c:ext>
              </c:extLst>
            </c:dLbl>
            <c:dLbl>
              <c:idx val="23"/>
              <c:layout>
                <c:manualLayout>
                  <c:x val="1.4851179336984051E-2"/>
                  <c:y val="4.499413659086158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5A1-4057-BF4E-99C80535FDFB}"/>
                </c:ext>
              </c:extLst>
            </c:dLbl>
            <c:dLbl>
              <c:idx val="24"/>
              <c:layout>
                <c:manualLayout>
                  <c:x val="1.4851179336984051E-2"/>
                  <c:y val="8.998827318172317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5A1-4057-BF4E-99C80535FDFB}"/>
                </c:ext>
              </c:extLst>
            </c:dLbl>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Φύλλο1!$A$2:$A$26</c:f>
              <c:strCache>
                <c:ptCount val="25"/>
                <c:pt idx="0">
                  <c:v>ΚΛΑΔΟΣ</c:v>
                </c:pt>
                <c:pt idx="1">
                  <c:v>Εμπόριο</c:v>
                </c:pt>
                <c:pt idx="2">
                  <c:v>Μεταποίηση- βιοτεχνία</c:v>
                </c:pt>
                <c:pt idx="3">
                  <c:v>Υπηρεσίες</c:v>
                </c:pt>
                <c:pt idx="4">
                  <c:v>ΕΤΗ ΛΕΙΤΟΥΡΓΙΑΣ</c:v>
                </c:pt>
                <c:pt idx="5">
                  <c:v>έως 5 χρόνια</c:v>
                </c:pt>
                <c:pt idx="6">
                  <c:v>5-10 χρόνια</c:v>
                </c:pt>
                <c:pt idx="7">
                  <c:v>10-15 χρόνια</c:v>
                </c:pt>
                <c:pt idx="8">
                  <c:v>15 και άνω</c:v>
                </c:pt>
                <c:pt idx="9">
                  <c:v>ΕΤΗΣΙΟΣ ΤΖΙΡΟΣ</c:v>
                </c:pt>
                <c:pt idx="10">
                  <c:v>Έως 50.000</c:v>
                </c:pt>
                <c:pt idx="11">
                  <c:v>50.000-100.000</c:v>
                </c:pt>
                <c:pt idx="12">
                  <c:v>100.000- 300.000</c:v>
                </c:pt>
                <c:pt idx="13">
                  <c:v>Πάνω από 300.000</c:v>
                </c:pt>
                <c:pt idx="14">
                  <c:v>ΠΕΡΙΟΧΗ</c:v>
                </c:pt>
                <c:pt idx="15">
                  <c:v>EL1_ATTIKH</c:v>
                </c:pt>
                <c:pt idx="16">
                  <c:v>EL2_ΝΗΣΙΑ ΑΙΓΑΙΟΥ &amp; ΚΡΗΤΗ</c:v>
                </c:pt>
                <c:pt idx="17">
                  <c:v>EL3_ΒΟΡΕΙΑ ΕΛΛΑΔΑ</c:v>
                </c:pt>
                <c:pt idx="18">
                  <c:v>EL4_ΚΕΝΤΡΙΚΗ ΕΛΛΑΔΑ</c:v>
                </c:pt>
                <c:pt idx="19">
                  <c:v>ΑΡ. ΕΡΓΑΖΟΜΕΝΩΝ</c:v>
                </c:pt>
                <c:pt idx="20">
                  <c:v>Χωρίς προσωπικό</c:v>
                </c:pt>
                <c:pt idx="21">
                  <c:v>1 άτομο</c:v>
                </c:pt>
                <c:pt idx="22">
                  <c:v>2-3 άτομα</c:v>
                </c:pt>
                <c:pt idx="23">
                  <c:v>4-5 άτομα</c:v>
                </c:pt>
                <c:pt idx="24">
                  <c:v>Πάνω από 5 άτομα</c:v>
                </c:pt>
              </c:strCache>
            </c:strRef>
          </c:cat>
          <c:val>
            <c:numRef>
              <c:f>Φύλλο1!$E$2:$E$26</c:f>
              <c:numCache>
                <c:formatCode>General</c:formatCode>
                <c:ptCount val="25"/>
                <c:pt idx="1">
                  <c:v>1.4</c:v>
                </c:pt>
                <c:pt idx="2">
                  <c:v>1</c:v>
                </c:pt>
                <c:pt idx="3">
                  <c:v>1.6</c:v>
                </c:pt>
                <c:pt idx="5">
                  <c:v>7.3</c:v>
                </c:pt>
                <c:pt idx="6">
                  <c:v>0</c:v>
                </c:pt>
                <c:pt idx="7">
                  <c:v>1.4</c:v>
                </c:pt>
                <c:pt idx="8">
                  <c:v>1</c:v>
                </c:pt>
                <c:pt idx="10">
                  <c:v>1.4</c:v>
                </c:pt>
                <c:pt idx="11">
                  <c:v>1.3</c:v>
                </c:pt>
                <c:pt idx="12">
                  <c:v>0.9</c:v>
                </c:pt>
                <c:pt idx="13">
                  <c:v>1.4</c:v>
                </c:pt>
                <c:pt idx="15">
                  <c:v>2</c:v>
                </c:pt>
                <c:pt idx="16">
                  <c:v>1</c:v>
                </c:pt>
                <c:pt idx="17">
                  <c:v>1.4</c:v>
                </c:pt>
                <c:pt idx="18">
                  <c:v>0.5</c:v>
                </c:pt>
                <c:pt idx="20">
                  <c:v>1.6</c:v>
                </c:pt>
                <c:pt idx="21">
                  <c:v>2</c:v>
                </c:pt>
                <c:pt idx="22">
                  <c:v>0.6</c:v>
                </c:pt>
                <c:pt idx="23">
                  <c:v>1.3</c:v>
                </c:pt>
                <c:pt idx="24">
                  <c:v>1.3</c:v>
                </c:pt>
              </c:numCache>
            </c:numRef>
          </c:val>
          <c:extLst>
            <c:ext xmlns:c16="http://schemas.microsoft.com/office/drawing/2014/chart" uri="{C3380CC4-5D6E-409C-BE32-E72D297353CC}">
              <c16:uniqueId val="{00000015-95A1-4057-BF4E-99C80535FDFB}"/>
            </c:ext>
          </c:extLst>
        </c:ser>
        <c:dLbls>
          <c:showLegendKey val="0"/>
          <c:showVal val="0"/>
          <c:showCatName val="0"/>
          <c:showSerName val="0"/>
          <c:showPercent val="0"/>
          <c:showBubbleSize val="0"/>
        </c:dLbls>
        <c:gapWidth val="30"/>
        <c:overlap val="100"/>
        <c:axId val="350512640"/>
        <c:axId val="350514176"/>
      </c:barChart>
      <c:catAx>
        <c:axId val="350512640"/>
        <c:scaling>
          <c:orientation val="maxMin"/>
        </c:scaling>
        <c:delete val="0"/>
        <c:axPos val="l"/>
        <c:numFmt formatCode="General" sourceLinked="0"/>
        <c:majorTickMark val="out"/>
        <c:minorTickMark val="none"/>
        <c:tickLblPos val="nextTo"/>
        <c:crossAx val="350514176"/>
        <c:crosses val="autoZero"/>
        <c:auto val="1"/>
        <c:lblAlgn val="ctr"/>
        <c:lblOffset val="100"/>
        <c:noMultiLvlLbl val="0"/>
      </c:catAx>
      <c:valAx>
        <c:axId val="350514176"/>
        <c:scaling>
          <c:orientation val="minMax"/>
        </c:scaling>
        <c:delete val="0"/>
        <c:axPos val="b"/>
        <c:majorGridlines/>
        <c:numFmt formatCode="0%" sourceLinked="1"/>
        <c:majorTickMark val="out"/>
        <c:minorTickMark val="none"/>
        <c:tickLblPos val="nextTo"/>
        <c:crossAx val="350512640"/>
        <c:crosses val="max"/>
        <c:crossBetween val="between"/>
      </c:valAx>
    </c:plotArea>
    <c:legend>
      <c:legendPos val="r"/>
      <c:layout>
        <c:manualLayout>
          <c:xMode val="edge"/>
          <c:yMode val="edge"/>
          <c:x val="0.21995343813991242"/>
          <c:y val="1.8591081240987887E-3"/>
          <c:w val="0.75819738122190627"/>
          <c:h val="4.5842669717794694E-2"/>
        </c:manualLayout>
      </c:layout>
      <c:overlay val="0"/>
    </c:legend>
    <c:plotVisOnly val="1"/>
    <c:dispBlanksAs val="gap"/>
    <c:showDLblsOverMax val="0"/>
  </c:chart>
  <c:txPr>
    <a:bodyPr/>
    <a:lstStyle/>
    <a:p>
      <a:pPr>
        <a:defRPr sz="8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081303676695857"/>
          <c:y val="2.9090191253951746E-2"/>
          <c:w val="0.60086379291189862"/>
          <c:h val="0.89483427336783616"/>
        </c:manualLayout>
      </c:layout>
      <c:barChart>
        <c:barDir val="bar"/>
        <c:grouping val="clustered"/>
        <c:varyColors val="0"/>
        <c:ser>
          <c:idx val="0"/>
          <c:order val="0"/>
          <c:tx>
            <c:strRef>
              <c:f>Φύλλο1!$B$1</c:f>
              <c:strCache>
                <c:ptCount val="1"/>
                <c:pt idx="0">
                  <c:v>Στήλη1</c:v>
                </c:pt>
              </c:strCache>
            </c:strRef>
          </c:tx>
          <c:spPr>
            <a:solidFill>
              <a:schemeClr val="accent1">
                <a:lumMod val="75000"/>
              </a:schemeClr>
            </a:solidFill>
          </c:spPr>
          <c:invertIfNegative val="0"/>
          <c:dPt>
            <c:idx val="0"/>
            <c:invertIfNegative val="0"/>
            <c:bubble3D val="0"/>
            <c:extLst>
              <c:ext xmlns:c16="http://schemas.microsoft.com/office/drawing/2014/chart" uri="{C3380CC4-5D6E-409C-BE32-E72D297353CC}">
                <c16:uniqueId val="{00000000-5468-43D9-AAB6-1683EBD680CA}"/>
              </c:ext>
            </c:extLst>
          </c:dPt>
          <c:dPt>
            <c:idx val="3"/>
            <c:invertIfNegative val="0"/>
            <c:bubble3D val="0"/>
            <c:extLst>
              <c:ext xmlns:c16="http://schemas.microsoft.com/office/drawing/2014/chart" uri="{C3380CC4-5D6E-409C-BE32-E72D297353CC}">
                <c16:uniqueId val="{00000001-5468-43D9-AAB6-1683EBD680CA}"/>
              </c:ext>
            </c:extLst>
          </c:dPt>
          <c:dPt>
            <c:idx val="10"/>
            <c:invertIfNegative val="0"/>
            <c:bubble3D val="0"/>
            <c:spPr>
              <a:solidFill>
                <a:schemeClr val="tx1">
                  <a:lumMod val="50000"/>
                  <a:lumOff val="50000"/>
                </a:schemeClr>
              </a:solidFill>
            </c:spPr>
            <c:extLst>
              <c:ext xmlns:c16="http://schemas.microsoft.com/office/drawing/2014/chart" uri="{C3380CC4-5D6E-409C-BE32-E72D297353CC}">
                <c16:uniqueId val="{00000003-5468-43D9-AAB6-1683EBD680C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Φύλλο1!$A$2:$A$12</c:f>
              <c:strCache>
                <c:ptCount val="11"/>
                <c:pt idx="0">
                  <c:v>Έως 10%</c:v>
                </c:pt>
                <c:pt idx="1">
                  <c:v>11-20%</c:v>
                </c:pt>
                <c:pt idx="2">
                  <c:v>21-30%</c:v>
                </c:pt>
                <c:pt idx="3">
                  <c:v>31-40%</c:v>
                </c:pt>
                <c:pt idx="4">
                  <c:v>41-50%</c:v>
                </c:pt>
                <c:pt idx="5">
                  <c:v>51-60%</c:v>
                </c:pt>
                <c:pt idx="6">
                  <c:v>61-70%</c:v>
                </c:pt>
                <c:pt idx="7">
                  <c:v>71-80%</c:v>
                </c:pt>
                <c:pt idx="8">
                  <c:v>81-90%</c:v>
                </c:pt>
                <c:pt idx="9">
                  <c:v>91-100%</c:v>
                </c:pt>
                <c:pt idx="10">
                  <c:v>ΔΓ/ΔΑ</c:v>
                </c:pt>
              </c:strCache>
            </c:strRef>
          </c:cat>
          <c:val>
            <c:numRef>
              <c:f>Φύλλο1!$B$2:$B$12</c:f>
              <c:numCache>
                <c:formatCode>General</c:formatCode>
                <c:ptCount val="11"/>
                <c:pt idx="0">
                  <c:v>4.8</c:v>
                </c:pt>
                <c:pt idx="1">
                  <c:v>11.1</c:v>
                </c:pt>
                <c:pt idx="2">
                  <c:v>18</c:v>
                </c:pt>
                <c:pt idx="3">
                  <c:v>14.3</c:v>
                </c:pt>
                <c:pt idx="4">
                  <c:v>12.2</c:v>
                </c:pt>
                <c:pt idx="5">
                  <c:v>10.1</c:v>
                </c:pt>
                <c:pt idx="6">
                  <c:v>9</c:v>
                </c:pt>
                <c:pt idx="7">
                  <c:v>6.2</c:v>
                </c:pt>
                <c:pt idx="8">
                  <c:v>6.2</c:v>
                </c:pt>
                <c:pt idx="9">
                  <c:v>3.9</c:v>
                </c:pt>
                <c:pt idx="10">
                  <c:v>4.2</c:v>
                </c:pt>
              </c:numCache>
            </c:numRef>
          </c:val>
          <c:extLst>
            <c:ext xmlns:c16="http://schemas.microsoft.com/office/drawing/2014/chart" uri="{C3380CC4-5D6E-409C-BE32-E72D297353CC}">
              <c16:uniqueId val="{00000004-5468-43D9-AAB6-1683EBD680CA}"/>
            </c:ext>
          </c:extLst>
        </c:ser>
        <c:dLbls>
          <c:showLegendKey val="0"/>
          <c:showVal val="0"/>
          <c:showCatName val="0"/>
          <c:showSerName val="0"/>
          <c:showPercent val="0"/>
          <c:showBubbleSize val="0"/>
        </c:dLbls>
        <c:gapWidth val="75"/>
        <c:axId val="350574080"/>
        <c:axId val="350575616"/>
      </c:barChart>
      <c:catAx>
        <c:axId val="350574080"/>
        <c:scaling>
          <c:orientation val="maxMin"/>
        </c:scaling>
        <c:delete val="0"/>
        <c:axPos val="l"/>
        <c:numFmt formatCode="General" sourceLinked="0"/>
        <c:majorTickMark val="out"/>
        <c:minorTickMark val="none"/>
        <c:tickLblPos val="nextTo"/>
        <c:crossAx val="350575616"/>
        <c:crosses val="autoZero"/>
        <c:auto val="1"/>
        <c:lblAlgn val="ctr"/>
        <c:lblOffset val="100"/>
        <c:noMultiLvlLbl val="0"/>
      </c:catAx>
      <c:valAx>
        <c:axId val="350575616"/>
        <c:scaling>
          <c:orientation val="minMax"/>
          <c:max val="30"/>
          <c:min val="0"/>
        </c:scaling>
        <c:delete val="0"/>
        <c:axPos val="b"/>
        <c:majorGridlines>
          <c:spPr>
            <a:ln>
              <a:solidFill>
                <a:schemeClr val="bg1">
                  <a:lumMod val="85000"/>
                </a:schemeClr>
              </a:solidFill>
            </a:ln>
          </c:spPr>
        </c:majorGridlines>
        <c:numFmt formatCode="General" sourceLinked="1"/>
        <c:majorTickMark val="out"/>
        <c:minorTickMark val="none"/>
        <c:tickLblPos val="nextTo"/>
        <c:crossAx val="350574080"/>
        <c:crosses val="max"/>
        <c:crossBetween val="between"/>
        <c:majorUnit val="10"/>
      </c:valAx>
    </c:plotArea>
    <c:plotVisOnly val="1"/>
    <c:dispBlanksAs val="gap"/>
    <c:showDLblsOverMax val="0"/>
  </c:chart>
  <c:txPr>
    <a:bodyPr/>
    <a:lstStyle/>
    <a:p>
      <a:pPr>
        <a:defRPr sz="1000">
          <a:solidFill>
            <a:schemeClr val="tx1"/>
          </a:solidFill>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a:t>Γράφημα 7</a:t>
            </a:r>
          </a:p>
          <a:p>
            <a:pPr>
              <a:defRPr sz="1400" b="0" i="0" u="none" strike="noStrike" kern="1200" spc="0" baseline="0">
                <a:solidFill>
                  <a:schemeClr val="tx1">
                    <a:lumMod val="65000"/>
                    <a:lumOff val="35000"/>
                  </a:schemeClr>
                </a:solidFill>
                <a:latin typeface="+mn-lt"/>
                <a:ea typeface="+mn-ea"/>
                <a:cs typeface="+mn-cs"/>
              </a:defRPr>
            </a:pPr>
            <a:r>
              <a:rPr lang="el-GR"/>
              <a:t>ΕΤΗΣΙΟΣ</a:t>
            </a:r>
            <a:r>
              <a:rPr lang="el-GR" baseline="0"/>
              <a:t> ΚΥΚΛΟΣ ΕΡΓΑΣΙΩΝ</a:t>
            </a:r>
            <a:endParaRPr lang="el-GR"/>
          </a:p>
        </c:rich>
      </c:tx>
      <c:overlay val="0"/>
      <c:spPr>
        <a:noFill/>
        <a:ln>
          <a:noFill/>
        </a:ln>
        <a:effectLst/>
      </c:spPr>
    </c:title>
    <c:autoTitleDeleted val="0"/>
    <c:plotArea>
      <c:layout/>
      <c:barChart>
        <c:barDir val="col"/>
        <c:grouping val="clustered"/>
        <c:varyColors val="0"/>
        <c:ser>
          <c:idx val="0"/>
          <c:order val="0"/>
          <c:tx>
            <c:strRef>
              <c:f>Φύλλο1!$C$2</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Φύλλο1!$B$3:$B$8</c:f>
              <c:strCache>
                <c:ptCount val="6"/>
                <c:pt idx="0">
                  <c:v>Κάτω από 50.000 €</c:v>
                </c:pt>
                <c:pt idx="1">
                  <c:v>50.000 - 100.000 €</c:v>
                </c:pt>
                <c:pt idx="2">
                  <c:v>100.000 - 300.000 €</c:v>
                </c:pt>
                <c:pt idx="3">
                  <c:v>300.000 - 500.000 €</c:v>
                </c:pt>
                <c:pt idx="4">
                  <c:v>500.000 - 1.000.000 €</c:v>
                </c:pt>
                <c:pt idx="5">
                  <c:v>Πάνω από 1.000.000 €</c:v>
                </c:pt>
              </c:strCache>
            </c:strRef>
          </c:cat>
          <c:val>
            <c:numRef>
              <c:f>Φύλλο1!$C$3:$C$8</c:f>
              <c:numCache>
                <c:formatCode>General</c:formatCode>
                <c:ptCount val="6"/>
                <c:pt idx="0">
                  <c:v>44.6</c:v>
                </c:pt>
                <c:pt idx="1">
                  <c:v>18.600000000000001</c:v>
                </c:pt>
                <c:pt idx="2">
                  <c:v>14.4</c:v>
                </c:pt>
                <c:pt idx="3">
                  <c:v>5.7</c:v>
                </c:pt>
                <c:pt idx="4">
                  <c:v>4.2</c:v>
                </c:pt>
                <c:pt idx="5">
                  <c:v>7.2</c:v>
                </c:pt>
              </c:numCache>
            </c:numRef>
          </c:val>
          <c:extLst>
            <c:ext xmlns:c16="http://schemas.microsoft.com/office/drawing/2014/chart" uri="{C3380CC4-5D6E-409C-BE32-E72D297353CC}">
              <c16:uniqueId val="{00000000-E9D3-4469-BA97-CC456A7E100E}"/>
            </c:ext>
          </c:extLst>
        </c:ser>
        <c:ser>
          <c:idx val="1"/>
          <c:order val="1"/>
          <c:tx>
            <c:strRef>
              <c:f>Φύλλο1!$D$2</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Φύλλο1!$B$3:$B$8</c:f>
              <c:strCache>
                <c:ptCount val="6"/>
                <c:pt idx="0">
                  <c:v>Κάτω από 50.000 €</c:v>
                </c:pt>
                <c:pt idx="1">
                  <c:v>50.000 - 100.000 €</c:v>
                </c:pt>
                <c:pt idx="2">
                  <c:v>100.000 - 300.000 €</c:v>
                </c:pt>
                <c:pt idx="3">
                  <c:v>300.000 - 500.000 €</c:v>
                </c:pt>
                <c:pt idx="4">
                  <c:v>500.000 - 1.000.000 €</c:v>
                </c:pt>
                <c:pt idx="5">
                  <c:v>Πάνω από 1.000.000 €</c:v>
                </c:pt>
              </c:strCache>
            </c:strRef>
          </c:cat>
          <c:val>
            <c:numRef>
              <c:f>Φύλλο1!$D$3:$D$8</c:f>
              <c:numCache>
                <c:formatCode>General</c:formatCode>
                <c:ptCount val="6"/>
                <c:pt idx="0">
                  <c:v>34.1</c:v>
                </c:pt>
                <c:pt idx="1">
                  <c:v>15.9</c:v>
                </c:pt>
                <c:pt idx="2">
                  <c:v>19.899999999999999</c:v>
                </c:pt>
                <c:pt idx="3">
                  <c:v>8.6999999999999993</c:v>
                </c:pt>
                <c:pt idx="4">
                  <c:v>5.0999999999999996</c:v>
                </c:pt>
                <c:pt idx="5">
                  <c:v>8.1999999999999993</c:v>
                </c:pt>
              </c:numCache>
            </c:numRef>
          </c:val>
          <c:extLst>
            <c:ext xmlns:c16="http://schemas.microsoft.com/office/drawing/2014/chart" uri="{C3380CC4-5D6E-409C-BE32-E72D297353CC}">
              <c16:uniqueId val="{00000001-E9D3-4469-BA97-CC456A7E100E}"/>
            </c:ext>
          </c:extLst>
        </c:ser>
        <c:dLbls>
          <c:showLegendKey val="0"/>
          <c:showVal val="0"/>
          <c:showCatName val="0"/>
          <c:showSerName val="0"/>
          <c:showPercent val="0"/>
          <c:showBubbleSize val="0"/>
        </c:dLbls>
        <c:gapWidth val="219"/>
        <c:overlap val="-27"/>
        <c:axId val="350647808"/>
        <c:axId val="350649344"/>
      </c:barChart>
      <c:catAx>
        <c:axId val="35064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50649344"/>
        <c:crosses val="autoZero"/>
        <c:auto val="1"/>
        <c:lblAlgn val="ctr"/>
        <c:lblOffset val="100"/>
        <c:noMultiLvlLbl val="0"/>
      </c:catAx>
      <c:valAx>
        <c:axId val="35064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5064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368440543643293E-2"/>
          <c:y val="0.11354917974070991"/>
          <c:w val="0.83636413083731453"/>
          <c:h val="0.75969981620430838"/>
        </c:manualLayout>
      </c:layout>
      <c:barChart>
        <c:barDir val="col"/>
        <c:grouping val="clustered"/>
        <c:varyColors val="0"/>
        <c:ser>
          <c:idx val="0"/>
          <c:order val="0"/>
          <c:tx>
            <c:strRef>
              <c:f>Φύλλο1!$B$1</c:f>
              <c:strCache>
                <c:ptCount val="1"/>
                <c:pt idx="0">
                  <c:v>Ισολογισμός 2020</c:v>
                </c:pt>
              </c:strCache>
            </c:strRef>
          </c:tx>
          <c:spPr>
            <a:solidFill>
              <a:schemeClr val="accent1">
                <a:lumMod val="75000"/>
              </a:schemeClr>
            </a:solidFill>
          </c:spPr>
          <c:invertIfNegative val="0"/>
          <c:dPt>
            <c:idx val="0"/>
            <c:invertIfNegative val="0"/>
            <c:bubble3D val="0"/>
            <c:extLst>
              <c:ext xmlns:c16="http://schemas.microsoft.com/office/drawing/2014/chart" uri="{C3380CC4-5D6E-409C-BE32-E72D297353CC}">
                <c16:uniqueId val="{00000000-59FA-4AD7-8DC1-3C83318B60C3}"/>
              </c:ext>
            </c:extLst>
          </c:dPt>
          <c:dPt>
            <c:idx val="3"/>
            <c:invertIfNegative val="0"/>
            <c:bubble3D val="0"/>
            <c:extLst>
              <c:ext xmlns:c16="http://schemas.microsoft.com/office/drawing/2014/chart" uri="{C3380CC4-5D6E-409C-BE32-E72D297353CC}">
                <c16:uniqueId val="{00000001-59FA-4AD7-8DC1-3C83318B60C3}"/>
              </c:ext>
            </c:extLst>
          </c:dPt>
          <c:dLbls>
            <c:spPr>
              <a:noFill/>
              <a:ln>
                <a:noFill/>
              </a:ln>
              <a:effectLst/>
            </c:spPr>
            <c:txPr>
              <a:bodyPr/>
              <a:lstStyle/>
              <a:p>
                <a:pPr>
                  <a:defRPr b="1"/>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Φύλλο1!$A$2:$A$5</c:f>
              <c:strCache>
                <c:ptCount val="4"/>
                <c:pt idx="0">
                  <c:v>Με ζημίες</c:v>
                </c:pt>
                <c:pt idx="1">
                  <c:v>Μηδενικό</c:v>
                </c:pt>
                <c:pt idx="2">
                  <c:v>Με κέρδη</c:v>
                </c:pt>
                <c:pt idx="3">
                  <c:v>ΔΑ</c:v>
                </c:pt>
              </c:strCache>
            </c:strRef>
          </c:cat>
          <c:val>
            <c:numRef>
              <c:f>Φύλλο1!$B$2:$B$5</c:f>
              <c:numCache>
                <c:formatCode>General</c:formatCode>
                <c:ptCount val="4"/>
                <c:pt idx="0">
                  <c:v>47.8</c:v>
                </c:pt>
                <c:pt idx="1">
                  <c:v>16.100000000000001</c:v>
                </c:pt>
                <c:pt idx="2">
                  <c:v>27.3</c:v>
                </c:pt>
                <c:pt idx="3">
                  <c:v>8.8000000000000007</c:v>
                </c:pt>
              </c:numCache>
            </c:numRef>
          </c:val>
          <c:extLst>
            <c:ext xmlns:c16="http://schemas.microsoft.com/office/drawing/2014/chart" uri="{C3380CC4-5D6E-409C-BE32-E72D297353CC}">
              <c16:uniqueId val="{00000002-59FA-4AD7-8DC1-3C83318B60C3}"/>
            </c:ext>
          </c:extLst>
        </c:ser>
        <c:ser>
          <c:idx val="1"/>
          <c:order val="1"/>
          <c:tx>
            <c:strRef>
              <c:f>Φύλλο1!$C$1</c:f>
              <c:strCache>
                <c:ptCount val="1"/>
                <c:pt idx="0">
                  <c:v>Ισολογισμός 2019</c:v>
                </c:pt>
              </c:strCache>
            </c:strRef>
          </c:tx>
          <c:spPr>
            <a:solidFill>
              <a:schemeClr val="accent1">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Φύλλο1!$A$2:$A$5</c:f>
              <c:strCache>
                <c:ptCount val="4"/>
                <c:pt idx="0">
                  <c:v>Με ζημίες</c:v>
                </c:pt>
                <c:pt idx="1">
                  <c:v>Μηδενικό</c:v>
                </c:pt>
                <c:pt idx="2">
                  <c:v>Με κέρδη</c:v>
                </c:pt>
                <c:pt idx="3">
                  <c:v>ΔΑ</c:v>
                </c:pt>
              </c:strCache>
            </c:strRef>
          </c:cat>
          <c:val>
            <c:numRef>
              <c:f>Φύλλο1!$C$2:$C$5</c:f>
              <c:numCache>
                <c:formatCode>General</c:formatCode>
                <c:ptCount val="4"/>
                <c:pt idx="0">
                  <c:v>27.6</c:v>
                </c:pt>
                <c:pt idx="1">
                  <c:v>8.5</c:v>
                </c:pt>
                <c:pt idx="2">
                  <c:v>55.2</c:v>
                </c:pt>
                <c:pt idx="3">
                  <c:v>8.6999999999999993</c:v>
                </c:pt>
              </c:numCache>
            </c:numRef>
          </c:val>
          <c:extLst>
            <c:ext xmlns:c16="http://schemas.microsoft.com/office/drawing/2014/chart" uri="{C3380CC4-5D6E-409C-BE32-E72D297353CC}">
              <c16:uniqueId val="{00000003-59FA-4AD7-8DC1-3C83318B60C3}"/>
            </c:ext>
          </c:extLst>
        </c:ser>
        <c:dLbls>
          <c:dLblPos val="outEnd"/>
          <c:showLegendKey val="0"/>
          <c:showVal val="1"/>
          <c:showCatName val="0"/>
          <c:showSerName val="0"/>
          <c:showPercent val="0"/>
          <c:showBubbleSize val="0"/>
        </c:dLbls>
        <c:gapWidth val="67"/>
        <c:overlap val="-9"/>
        <c:axId val="350750976"/>
        <c:axId val="350765056"/>
      </c:barChart>
      <c:catAx>
        <c:axId val="350750976"/>
        <c:scaling>
          <c:orientation val="minMax"/>
        </c:scaling>
        <c:delete val="0"/>
        <c:axPos val="b"/>
        <c:numFmt formatCode="General" sourceLinked="0"/>
        <c:majorTickMark val="out"/>
        <c:minorTickMark val="none"/>
        <c:tickLblPos val="nextTo"/>
        <c:txPr>
          <a:bodyPr/>
          <a:lstStyle/>
          <a:p>
            <a:pPr>
              <a:defRPr sz="1200"/>
            </a:pPr>
            <a:endParaRPr lang="el-GR"/>
          </a:p>
        </c:txPr>
        <c:crossAx val="350765056"/>
        <c:crosses val="autoZero"/>
        <c:auto val="1"/>
        <c:lblAlgn val="ctr"/>
        <c:lblOffset val="100"/>
        <c:noMultiLvlLbl val="0"/>
      </c:catAx>
      <c:valAx>
        <c:axId val="350765056"/>
        <c:scaling>
          <c:orientation val="minMax"/>
          <c:max val="60"/>
          <c:min val="0"/>
        </c:scaling>
        <c:delete val="0"/>
        <c:axPos val="l"/>
        <c:majorGridlines>
          <c:spPr>
            <a:ln>
              <a:solidFill>
                <a:schemeClr val="bg1">
                  <a:lumMod val="85000"/>
                </a:schemeClr>
              </a:solidFill>
            </a:ln>
          </c:spPr>
        </c:majorGridlines>
        <c:numFmt formatCode="General" sourceLinked="1"/>
        <c:majorTickMark val="out"/>
        <c:minorTickMark val="none"/>
        <c:tickLblPos val="nextTo"/>
        <c:txPr>
          <a:bodyPr/>
          <a:lstStyle/>
          <a:p>
            <a:pPr>
              <a:defRPr sz="800"/>
            </a:pPr>
            <a:endParaRPr lang="el-GR"/>
          </a:p>
        </c:txPr>
        <c:crossAx val="350750976"/>
        <c:crosses val="autoZero"/>
        <c:crossBetween val="between"/>
        <c:majorUnit val="10"/>
      </c:valAx>
    </c:plotArea>
    <c:legend>
      <c:legendPos val="t"/>
      <c:layout>
        <c:manualLayout>
          <c:xMode val="edge"/>
          <c:yMode val="edge"/>
          <c:x val="0.14666639604146547"/>
          <c:y val="2.171802704549898E-2"/>
          <c:w val="0.75279456128806199"/>
          <c:h val="8.226914050765459E-2"/>
        </c:manualLayout>
      </c:layout>
      <c:overlay val="0"/>
      <c:txPr>
        <a:bodyPr/>
        <a:lstStyle/>
        <a:p>
          <a:pPr>
            <a:defRPr b="1"/>
          </a:pPr>
          <a:endParaRPr lang="el-GR"/>
        </a:p>
      </c:txPr>
    </c:legend>
    <c:plotVisOnly val="1"/>
    <c:dispBlanksAs val="gap"/>
    <c:showDLblsOverMax val="0"/>
  </c:chart>
  <c:txPr>
    <a:bodyPr/>
    <a:lstStyle/>
    <a:p>
      <a:pPr>
        <a:defRPr sz="1200">
          <a:latin typeface="Microsoft JhengHei UI" panose="020B0604030504040204" pitchFamily="34" charset="-120"/>
          <a:ea typeface="Microsoft JhengHei UI" panose="020B0604030504040204" pitchFamily="34" charset="-120"/>
        </a:defRPr>
      </a:pPr>
      <a:endParaRPr lang="el-GR"/>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ίγες">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6BC8A9-660B-49DB-82EC-8DAB8B75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9164</Words>
  <Characters>49491</Characters>
  <Application>Microsoft Office Word</Application>
  <DocSecurity>0</DocSecurity>
  <Lines>412</Lines>
  <Paragraphs>117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Θανόπουλος</dc:creator>
  <cp:lastModifiedBy>Βάσια Μότσου</cp:lastModifiedBy>
  <cp:revision>2</cp:revision>
  <cp:lastPrinted>2021-04-05T12:47:00Z</cp:lastPrinted>
  <dcterms:created xsi:type="dcterms:W3CDTF">2021-04-08T07:50:00Z</dcterms:created>
  <dcterms:modified xsi:type="dcterms:W3CDTF">2021-04-08T07:50:00Z</dcterms:modified>
</cp:coreProperties>
</file>